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1CCFF" w14:textId="77777777" w:rsidR="00632962" w:rsidRDefault="00632962" w:rsidP="00632962">
      <w:pPr>
        <w:jc w:val="center"/>
        <w:rPr>
          <w:sz w:val="24"/>
          <w:szCs w:val="22"/>
          <w:rFonts w:ascii="Times New Roman" w:hAnsi="Times New Roman"/>
        </w:rPr>
      </w:pPr>
      <w:r>
        <w:rPr>
          <w:sz w:val="24"/>
          <w:rFonts w:ascii="Times New Roman" w:hAnsi="Times New Roman"/>
        </w:rPr>
        <w:t xml:space="preserve">LV</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II PIELIKUMS</w:t>
      </w:r>
    </w:p>
    <w:p w14:paraId="7AF3DCD8"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“II PIELIKUMS</w:t>
      </w:r>
    </w:p>
    <w:p w14:paraId="786C3F82" w14:textId="77777777" w:rsidR="00074AC8" w:rsidRPr="00037E7B" w:rsidRDefault="00074AC8" w:rsidP="00074AC8">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 xml:space="preserve">II DAĻA.</w:t>
      </w:r>
      <w:r>
        <w:rPr>
          <w:rFonts w:ascii="Times New Roman" w:hAnsi="Times New Roman"/>
        </w:rPr>
        <w:t xml:space="preserve"> </w:t>
      </w:r>
      <w:r>
        <w:rPr>
          <w:rFonts w:ascii="Times New Roman" w:hAnsi="Times New Roman"/>
        </w:rPr>
        <w:t xml:space="preserve">NORĀDĪJUMI SAISTĪBĀ AR VEIDNI</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 xml:space="preserve">(..)</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sz w:val="24"/>
          <w:rFonts w:ascii="Times New Roman" w:hAnsi="Times New Roman"/>
        </w:rPr>
      </w:pPr>
      <w:bookmarkStart w:id="3" w:name="_Toc19715796"/>
      <w:bookmarkStart w:id="4" w:name="_Toc151714441"/>
      <w:r>
        <w:rPr>
          <w:sz w:val="24"/>
          <w:rFonts w:ascii="Times New Roman" w:hAnsi="Times New Roman"/>
        </w:rPr>
        <w:t xml:space="preserve">Darījuma partnera kredītrisks</w:t>
      </w:r>
      <w:bookmarkEnd w:id="3"/>
      <w:bookmarkEnd w:id="4"/>
    </w:p>
    <w:p w14:paraId="4116917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sz w:val="24"/>
          <w:rFonts w:ascii="Times New Roman" w:hAnsi="Times New Roman"/>
        </w:rPr>
        <w:t xml:space="preserve">Darījuma partnera kredītriska veidņu tvērums</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119</w:t>
      </w:r>
      <w:r>
        <w:fldChar w:fldCharType="end"/>
      </w:r>
      <w:r>
        <w:t xml:space="preserve">.</w:t>
      </w:r>
      <w:r>
        <w:t xml:space="preserve"> </w:t>
      </w:r>
      <w:r>
        <w:t xml:space="preserve">Darījuma partnera kredītriska veidnes aptver informāciju par riska darījumiem, kas pakļauti darījuma partnera kredītriskam, piemērojot Regulas (ES) Nr. 575/2013 Trešās daļas II sadaļas 4. un 6. nodaļu.</w:t>
      </w:r>
    </w:p>
    <w:p w14:paraId="5C2099A9" w14:textId="470C3ABA"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120</w:t>
      </w:r>
      <w:r>
        <w:fldChar w:fldCharType="end"/>
      </w:r>
      <w:r>
        <w:t xml:space="preserve">.</w:t>
      </w:r>
      <w:r>
        <w:t xml:space="preserve"> </w:t>
      </w:r>
      <w:r>
        <w:t xml:space="preserve">Veidnēs nav iekļautas pašu kapitāla prasības attiecībā uz </w:t>
      </w:r>
      <w:r>
        <w:rPr>
          <w:i/>
          <w:iCs/>
        </w:rPr>
        <w:t xml:space="preserve">CVA</w:t>
      </w:r>
      <w:r>
        <w:t xml:space="preserve"> risku (Regulas (ES) Nr. 575/2013 92. panta 3. punkta d) apakšpunkts un Trešās daļas VI sadaļa), kuras uzrāda</w:t>
      </w:r>
      <w:r>
        <w:rPr>
          <w:i/>
          <w:iCs/>
        </w:rPr>
        <w:t xml:space="preserve"> CVA</w:t>
      </w:r>
      <w:r>
        <w:t xml:space="preserve"> riska veidnē.</w:t>
      </w:r>
      <w:r>
        <w:t xml:space="preserve"> </w:t>
      </w:r>
    </w:p>
    <w:p w14:paraId="69B3C47B" w14:textId="3B35D7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121</w:t>
      </w:r>
      <w:r>
        <w:fldChar w:fldCharType="end"/>
      </w:r>
      <w:r>
        <w:t xml:space="preserve">.</w:t>
      </w:r>
      <w:r>
        <w:t xml:space="preserve"> </w:t>
      </w:r>
      <w:r>
        <w:t xml:space="preserve">Ja vien nav norādīts citādi, darījuma partnera kredītriska darījumi ar centrālajiem darījumu partneriem (Regulas (ES) Nr. 575/2013 Trešās daļas II sadaļas 4. nodaļa un 6. nodaļas 9. iedaļa) būtu jāiekļauj </w:t>
      </w:r>
      <w:r>
        <w:rPr>
          <w:i/>
          <w:iCs/>
        </w:rPr>
        <w:t xml:space="preserve">CCR</w:t>
      </w:r>
      <w:r>
        <w:t xml:space="preserve"> rādītājos.</w:t>
      </w:r>
      <w:r>
        <w:t xml:space="preserve"> </w:t>
      </w:r>
      <w:r>
        <w:t xml:space="preserve">Tomēr iemaksas saistību neizpildes fondā, kas aprēķinātas saskaņā ar Regulas (ES) Nr. 575/2013 307. līdz 310. pantu, neuzrāda darījuma partnera kredītriska veidnēs, izņemot C 34.10. veidni, jo īpaši attiecīgās rindas.</w:t>
      </w:r>
      <w:r>
        <w:t xml:space="preserve"> </w:t>
      </w:r>
      <w:r>
        <w:t xml:space="preserve">Parasti riska darījumu vērtības iemaksām saistību neizpildes fondā uzrāda tieši C 02.00 veidnes 0460. rindā.</w:t>
      </w:r>
    </w:p>
    <w:p w14:paraId="30858597"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14" w:name="_Toc19715803"/>
      <w:bookmarkStart w:id="15" w:name="_Toc151714443"/>
      <w:bookmarkStart w:id="16" w:name="_Toc516210659"/>
      <w:r>
        <w:rPr>
          <w:sz w:val="24"/>
          <w:rFonts w:ascii="Times New Roman" w:hAnsi="Times New Roman"/>
        </w:rPr>
        <w:t xml:space="preserve">C 34.01. – Atvasināto instrumentu darījumu apmērs</w:t>
      </w:r>
      <w:bookmarkEnd w:id="14"/>
      <w:bookmarkEnd w:id="15"/>
    </w:p>
    <w:p w14:paraId="0D62C2B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7" w:name="_Toc19715804"/>
      <w:bookmarkStart w:id="18" w:name="_Toc151714444"/>
      <w:r>
        <w:rPr>
          <w:sz w:val="24"/>
          <w:rFonts w:ascii="Times New Roman" w:hAnsi="Times New Roman"/>
        </w:rPr>
        <w:t xml:space="preserve">Vispārīgas piezīmes</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122</w:t>
      </w:r>
      <w:r>
        <w:fldChar w:fldCharType="end"/>
      </w:r>
      <w:r>
        <w:t xml:space="preserve">.</w:t>
      </w:r>
      <w:r>
        <w:t xml:space="preserve"> </w:t>
      </w:r>
      <w:r>
        <w:t xml:space="preserve">Saskaņā ar Regulas (ES) Nr. 575/2013 273.a pantu iestāde var aprēķināt savu atvasināto instrumentu pozīciju riska darījumu vērtību saskaņā ar Regulas (ES) Nr. 575/2013 Trešās daļas II sadaļas 6. nodaļas 4. vai 5. iedaļā izklāstīto metodi, ja tās bilances un ārpusbilances atvasināto instrumentu darījumu apmērs ir attiecīgi vienāds vai mazāks par iepriekš definētajiem sliekšņiem.</w:t>
      </w:r>
      <w:r>
        <w:t xml:space="preserve"> </w:t>
      </w:r>
      <w:r>
        <w:t xml:space="preserve">Attiecīgo novērtējumu veic ik mēnesi, pamatojoties uz katra mēneša pēdējās dienas datiem.</w:t>
      </w:r>
      <w:r>
        <w:t xml:space="preserve"> </w:t>
      </w:r>
      <w:r>
        <w:t xml:space="preserve">Šī veidne sniedz informāciju par atbilstību minētajiem sliekšņiem un kopumā – svarīgu informāciju par atvasināto instrumentu darījumu apmēru.</w:t>
      </w:r>
    </w:p>
    <w:p w14:paraId="0B9542C1" w14:textId="25E74705"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123</w:t>
      </w:r>
      <w:r>
        <w:fldChar w:fldCharType="end"/>
      </w:r>
      <w:r>
        <w:t xml:space="preserve">.</w:t>
      </w:r>
      <w:r>
        <w:t xml:space="preserve"> </w:t>
      </w:r>
      <w:r>
        <w:t xml:space="preserve">mēnesis, 2. mēnesis un 3. mēnesis attiecas uz attiecīgi uzrādāmā ceturkšņa pirmo, otro un trešo mēnesi.</w:t>
      </w:r>
      <w:r>
        <w:t xml:space="preserve"> </w:t>
      </w:r>
      <w:r>
        <w:t xml:space="preserve">Informāciju sniedz tikai par mēneša beigām pēc 2021. gada 28. jūnija.</w:t>
      </w:r>
    </w:p>
    <w:p w14:paraId="782EADBE"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9" w:name="_Toc516210660"/>
      <w:bookmarkStart w:id="20" w:name="_Toc19715805"/>
      <w:bookmarkStart w:id="21" w:name="_Toc151714445"/>
      <w:r>
        <w:rPr>
          <w:sz w:val="24"/>
          <w:rFonts w:ascii="Times New Roman" w:hAnsi="Times New Roman"/>
        </w:rPr>
        <w:t xml:space="preserve">Norādes par konkrētām pozīcijām</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Slejas</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0010., 0040., 0070.</w:t>
            </w:r>
          </w:p>
        </w:tc>
        <w:tc>
          <w:tcPr>
            <w:tcW w:w="8108" w:type="dxa"/>
          </w:tcPr>
          <w:p w14:paraId="09D42C21"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ATVASINĀTO INSTRUMENTU GARĀS POZĪCIJAS</w:t>
            </w:r>
          </w:p>
          <w:p w14:paraId="2BADA7D6"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Regulas (ES) Nr. 575/2013 273.a panta 3. punkts.</w:t>
            </w:r>
          </w:p>
          <w:p w14:paraId="400C78E9"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Uzrāda atvasināto instrumentu garo pozīciju absolūto tirgus vērtību summu konkrētā mēneša pēdējā dienā.</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0020.,0050.</w:t>
            </w:r>
          </w:p>
          <w:p w14:paraId="6AD3843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0080.</w:t>
            </w:r>
          </w:p>
        </w:tc>
        <w:tc>
          <w:tcPr>
            <w:tcW w:w="8108" w:type="dxa"/>
          </w:tcPr>
          <w:p w14:paraId="4F840B3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ATVASINĀTO INSTRUMENTU ĪSĀS POZĪCIJAS</w:t>
            </w:r>
          </w:p>
          <w:p w14:paraId="17AF4A13"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Regulas (ES) Nr. 575/2013 273.a panta 3. punkts.</w:t>
            </w:r>
          </w:p>
          <w:p w14:paraId="3AB96F8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Uzrāda atvasināto instrumentu īso pozīciju absolūto tirgus vērtību summu konkrētā mēneša pēdējā dienā.</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0030.,0060.,</w:t>
            </w:r>
          </w:p>
          <w:p w14:paraId="1173DE8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0090.</w:t>
            </w:r>
          </w:p>
        </w:tc>
        <w:tc>
          <w:tcPr>
            <w:tcW w:w="8108" w:type="dxa"/>
          </w:tcPr>
          <w:p w14:paraId="252D116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KOPĀ</w:t>
            </w:r>
          </w:p>
          <w:p w14:paraId="4D024C67"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Regulas (ES) Nr. 575/2013 273.a panta 3. punkta b) apakšpunkts.</w:t>
            </w:r>
          </w:p>
          <w:p w14:paraId="6C39E208"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Atvasināto instrumentu garo pozīciju absolūto vērtību un atvasināto instrumentu īso pozīciju absolūto vērtību summa.</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Rindas</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552E9C6B"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Atvasināto instrumentu darījumu apmērs</w:t>
            </w:r>
          </w:p>
          <w:p w14:paraId="78339108" w14:textId="77777777" w:rsidR="00EF74C7" w:rsidRPr="002A677E" w:rsidRDefault="00EF74C7" w:rsidP="00822842">
            <w:pPr>
              <w:spacing w:beforeLines="60" w:before="144" w:afterLines="60" w:after="144"/>
              <w:rPr>
                <w:bCs/>
                <w:sz w:val="24"/>
                <w:rFonts w:ascii="Times New Roman" w:hAnsi="Times New Roman"/>
              </w:rPr>
            </w:pPr>
            <w:r>
              <w:rPr>
                <w:sz w:val="24"/>
                <w:rFonts w:ascii="Times New Roman" w:hAnsi="Times New Roman"/>
              </w:rPr>
              <w:t xml:space="preserve">Regulas (ES) Nr. 575/2013 273.a panta 3. punkts.</w:t>
            </w:r>
          </w:p>
          <w:p w14:paraId="6D4FE0C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Ietver visus bilances un ārpusbilances atvasinātos instrumentus, izņemot kredītu atvasinātos instrumentus, kas atzīti kā iekšējās riska ierobežošanas pozīcijas netirdzniecības portfeļa kredītriska riska darījumos.</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187" w:type="dxa"/>
          </w:tcPr>
          <w:p w14:paraId="04982DD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Bilances un ārpusbilances atvasinātie instrumenti</w:t>
            </w:r>
          </w:p>
          <w:p w14:paraId="5D2385C4"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Regulas (ES) Nr. 575/2013 273.a panta 3. punkta a) un b) apakšpunkts.</w:t>
            </w:r>
          </w:p>
          <w:p w14:paraId="36CFA94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Uzrāda bilances un ārpusbilances atvasināto instrumentu pozīciju kopējo tirgus vērtību, pamatojoties uz katra mēneša pēdējās dienas datiem.</w:t>
            </w:r>
            <w:r>
              <w:rPr>
                <w:sz w:val="24"/>
                <w:rFonts w:ascii="Times New Roman" w:hAnsi="Times New Roman"/>
              </w:rPr>
              <w:t xml:space="preserve"> </w:t>
            </w:r>
            <w:r>
              <w:rPr>
                <w:sz w:val="24"/>
                <w:rFonts w:ascii="Times New Roman" w:hAnsi="Times New Roman"/>
              </w:rPr>
              <w:t xml:space="preserve">Ja kādas pozīcijas tirgus vērtība konkrētajā datumā nav pieejama, iestādes izmanto minētās pozīcijas patieso vērtību;</w:t>
            </w:r>
            <w:r>
              <w:rPr>
                <w:sz w:val="24"/>
                <w:rFonts w:ascii="Times New Roman" w:hAnsi="Times New Roman"/>
              </w:rPr>
              <w:t xml:space="preserve"> </w:t>
            </w:r>
            <w:r>
              <w:rPr>
                <w:sz w:val="24"/>
                <w:rFonts w:ascii="Times New Roman" w:hAnsi="Times New Roman"/>
              </w:rPr>
              <w:t xml:space="preserve">ja kādas pozīcijas tirgus vērtība un patiesā vērtība konkrētajā datumā nav pieejamas, iestādes izmanto minētās pozīcijas jaunāko tirgus vērtību vai patieso vērtību.</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w:t>
            </w:r>
            <w:r>
              <w:rPr>
                <w:sz w:val="24"/>
                <w:rFonts w:ascii="Times New Roman" w:hAnsi="Times New Roman"/>
              </w:rPr>
              <w:t xml:space="preserve"> </w:t>
            </w:r>
          </w:p>
        </w:tc>
        <w:tc>
          <w:tcPr>
            <w:tcW w:w="8187" w:type="dxa"/>
          </w:tcPr>
          <w:p w14:paraId="36732A5F" w14:textId="77777777" w:rsidR="00EF74C7" w:rsidRPr="002A677E" w:rsidRDefault="00EF74C7" w:rsidP="00822842">
            <w:pPr>
              <w:spacing w:beforeLines="60" w:before="144" w:afterLines="60" w:after="144"/>
              <w:rPr>
                <w:b/>
                <w:sz w:val="24"/>
                <w:u w:val="single"/>
                <w:rFonts w:ascii="Times New Roman" w:hAnsi="Times New Roman"/>
              </w:rPr>
            </w:pPr>
            <w:r>
              <w:rPr>
                <w:b/>
                <w:sz w:val="24"/>
                <w:u w:val="single"/>
                <w:rFonts w:ascii="Times New Roman" w:hAnsi="Times New Roman"/>
              </w:rPr>
              <w:t xml:space="preserve">(-) Kredītu atvasinātie instrumenti, kas atzīti par iekšējām riska ierobežošanas pozīcijām netirdzniecības portfeļa kredītriska riska darījumos</w:t>
            </w:r>
          </w:p>
          <w:p w14:paraId="7B2D3F9F"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Regulas (ES) Nr. 575/2013 273.a panta 3. punkta c) apakšpunkts.</w:t>
            </w:r>
          </w:p>
          <w:p w14:paraId="11EEB10C"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Tādu kredītu atvasināto instrumentu kopējā tirgus vērtība, kas atzīti kā iekšējās riska ierobežošanas pozīcijas netirdzniecības portfeļa kredītriska riska darījumos.</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0040.</w:t>
            </w:r>
          </w:p>
        </w:tc>
        <w:tc>
          <w:tcPr>
            <w:tcW w:w="8187" w:type="dxa"/>
          </w:tcPr>
          <w:p w14:paraId="0BD0066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Aktīvi kopā</w:t>
            </w:r>
          </w:p>
          <w:p w14:paraId="46929946"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Kopējie aktīvi saskaņā ar piemērojamajiem grāmatvedības standartiem.</w:t>
            </w:r>
          </w:p>
          <w:p w14:paraId="010EF5F0"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Konsolidētajā pārskatā iestāde uzrāda kopējos aktīvus, ievērojot prudenciālās konsolidācijas tvērumu saskaņā ar Regulas (ES) Nr. 575/2013 Pirmās daļas II sadaļas 2. nodaļas 2. iedaļu.</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tcPr>
          <w:p w14:paraId="2661369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Procentuālā daļa no kopējiem aktīviem</w:t>
            </w:r>
          </w:p>
          <w:p w14:paraId="7A7748D7" w14:textId="77777777" w:rsidR="00EF74C7" w:rsidRPr="002A677E" w:rsidRDefault="00EF74C7" w:rsidP="00822842">
            <w:pPr>
              <w:spacing w:beforeLines="60" w:before="144" w:afterLines="60" w:after="144"/>
              <w:rPr>
                <w:b/>
                <w:sz w:val="24"/>
                <w:rFonts w:ascii="Times New Roman" w:hAnsi="Times New Roman"/>
              </w:rPr>
            </w:pPr>
            <w:r>
              <w:rPr>
                <w:rStyle w:val="InstructionsTabelleberschrift"/>
                <w:b w:val="0"/>
                <w:sz w:val="24"/>
                <w:u w:val="none"/>
                <w:rFonts w:ascii="Times New Roman" w:hAnsi="Times New Roman"/>
              </w:rPr>
              <w:t xml:space="preserve">Attiecība, kas jāaprēķina, atvasināto instrumentu darījumu apmēru (0010. rinda) dalot ar kopējiem aktīviem (0040. rinda).</w:t>
            </w:r>
            <w:r>
              <w:rPr>
                <w:rStyle w:val="InstructionsTabelleberschrift"/>
                <w:b w:val="0"/>
                <w:sz w:val="24"/>
                <w:u w:val="none"/>
                <w:rFonts w:ascii="Times New Roman" w:hAnsi="Times New Roman"/>
              </w:rPr>
              <w:t xml:space="preserve">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ATKĀPE SASKAŅĀ AR </w:t>
            </w:r>
            <w:r>
              <w:rPr>
                <w:b/>
                <w:sz w:val="24"/>
                <w:u w:val="single"/>
                <w:rFonts w:ascii="Times New Roman" w:hAnsi="Times New Roman"/>
              </w:rPr>
              <w:t xml:space="preserve">REGULAS (ES)</w:t>
            </w:r>
            <w:r>
              <w:rPr>
                <w:b/>
                <w:sz w:val="24"/>
                <w:rFonts w:ascii="Times New Roman" w:hAnsi="Times New Roman"/>
              </w:rPr>
              <w:t xml:space="preserve"> Nr. 575/2013 273.a PANTA 4. PUNKTU</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tcPr>
          <w:p w14:paraId="67908B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sz w:val="24"/>
                <w:rStyle w:val="InstructionsTabelleberschrift"/>
                <w:rFonts w:ascii="Times New Roman" w:hAnsi="Times New Roman"/>
              </w:rPr>
              <w:t xml:space="preserve">Vai ir izpildīti</w:t>
            </w:r>
            <w:r>
              <w:rPr>
                <w:sz w:val="24"/>
                <w:rFonts w:ascii="Times New Roman" w:hAnsi="Times New Roman"/>
              </w:rPr>
              <w:t xml:space="preserve"> Regulas (ES) Nr. 575/2013 </w:t>
            </w:r>
            <w:r>
              <w:rPr>
                <w:sz w:val="24"/>
                <w:rStyle w:val="InstructionsTabelleberschrift"/>
                <w:rFonts w:ascii="Times New Roman" w:hAnsi="Times New Roman"/>
              </w:rPr>
              <w:t xml:space="preserve">273.a panta 4. punkta nosacījumi, ieskaitot kompetentās iestādes apstiprinājumu?</w:t>
            </w:r>
          </w:p>
          <w:p w14:paraId="2F3DE52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Regulas (ES) Nr. 575/2013 273.a panta 4. punkts.</w:t>
            </w:r>
          </w:p>
          <w:p w14:paraId="748D5951"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Iestādes, kuras pārsniedz sliekšņus, lai izmantotu vienkāršoto pieeju darījuma partnera kredītriskam, bet kuras joprojām izmanto vienu no tām, pamatojoties uz Regulas (ES) Nr. 575/2013 273.a panta 4. punktu, norāda (ar Jā/Nē), vai tās ir panākušas atbilstību minēta panta noteikumiem.</w:t>
            </w:r>
          </w:p>
          <w:p w14:paraId="6DA86931" w14:textId="77777777" w:rsidR="00EF74C7" w:rsidRPr="002A677E" w:rsidRDefault="00EF74C7" w:rsidP="00822842">
            <w:pPr>
              <w:spacing w:beforeLines="60" w:before="144" w:afterLines="60" w:after="144"/>
              <w:rPr>
                <w:b/>
                <w:sz w:val="24"/>
                <w:rFonts w:ascii="Times New Roman" w:hAnsi="Times New Roman"/>
              </w:rPr>
            </w:pPr>
            <w:r>
              <w:rPr>
                <w:sz w:val="24"/>
                <w:rFonts w:ascii="Times New Roman" w:hAnsi="Times New Roman"/>
              </w:rPr>
              <w:t xml:space="preserve">Šo posteni uzrāda tikai tās iestādes, kuras piemēro minēto atkāpi saskaņā ar Regulas (ES) Nr. 575/2013 273.a panta 4. punktu.</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58491EC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Riska darījumu vērtību aprēķina metode konsolidētā līmenī</w:t>
            </w:r>
          </w:p>
          <w:p w14:paraId="082FDD1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Regulas (ES) Nr. 575/2013 273.a panta 4. punkts.</w:t>
            </w:r>
          </w:p>
          <w:p w14:paraId="2F4198CB"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Metode atvasināto instrumentu pozīciju riska darījumu vērtību aprēķināšanai konsolidēti, ko izmanto arī vienas sabiedrības līmenī saskaņā ar Regulas (ES) Nr. 575/2013 273.a panta 4. punktu:</w:t>
            </w:r>
          </w:p>
          <w:p w14:paraId="028F6AA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w:t>
            </w:r>
            <w:r>
              <w:rPr>
                <w:rStyle w:val="InstructionsTabelleberschrift"/>
                <w:b w:val="0"/>
                <w:sz w:val="24"/>
                <w:u w:val="none"/>
                <w:i/>
                <w:iCs/>
                <w:rFonts w:ascii="Times New Roman" w:hAnsi="Times New Roman"/>
              </w:rPr>
              <w:t xml:space="preserve">OEM</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Sākotnējā riska metode</w:t>
            </w:r>
          </w:p>
          <w:p w14:paraId="52FA75E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Vienkāršotā </w:t>
            </w:r>
            <w:r>
              <w:rPr>
                <w:rStyle w:val="InstructionsTabelleberschrift"/>
                <w:b w:val="0"/>
                <w:sz w:val="24"/>
                <w:u w:val="none"/>
                <w:i/>
                <w:iCs/>
                <w:rFonts w:ascii="Times New Roman" w:hAnsi="Times New Roman"/>
              </w:rPr>
              <w:t xml:space="preserve">SA-CCR</w:t>
            </w:r>
            <w:r>
              <w:rPr>
                <w:rStyle w:val="InstructionsTabelleberschrift"/>
                <w:b w:val="0"/>
                <w:sz w:val="24"/>
                <w:u w:val="none"/>
                <w:rFonts w:ascii="Times New Roman" w:hAnsi="Times New Roman"/>
              </w:rPr>
              <w:t xml:space="preserv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Vienkāršota standartizēta pieeja attiecībā uz darījumu partnera kredītrisku</w:t>
            </w:r>
            <w:r>
              <w:rPr>
                <w:rStyle w:val="InstructionsTabelleberschrift"/>
                <w:b w:val="0"/>
                <w:sz w:val="24"/>
                <w:u w:val="none"/>
                <w:rFonts w:ascii="Times New Roman" w:hAnsi="Times New Roman"/>
              </w:rPr>
              <w:t xml:space="preserve"> </w:t>
            </w:r>
          </w:p>
          <w:p w14:paraId="6D893F4F" w14:textId="77777777" w:rsidR="00EF74C7" w:rsidRPr="002A677E" w:rsidRDefault="00EF74C7" w:rsidP="00822842">
            <w:pPr>
              <w:spacing w:beforeLines="60" w:before="144" w:afterLines="60" w:after="144"/>
              <w:rPr>
                <w:b/>
                <w:sz w:val="24"/>
                <w:rFonts w:ascii="Times New Roman" w:hAnsi="Times New Roman"/>
              </w:rPr>
            </w:pPr>
            <w:r>
              <w:rPr>
                <w:sz w:val="24"/>
                <w:rFonts w:ascii="Times New Roman" w:hAnsi="Times New Roman"/>
              </w:rPr>
              <w:t xml:space="preserve">Šo posteni uzrāda tikai tās iestādes, kuras piemēro minēto atkāpi saskaņā ar Regulas (ES) Nr. 575/2013 273.a panta 4. punktu.</w:t>
            </w:r>
          </w:p>
        </w:tc>
      </w:tr>
    </w:tbl>
    <w:p w14:paraId="773ED03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2" w:name="_Toc19715806"/>
      <w:bookmarkStart w:id="23" w:name="_Toc151714446"/>
      <w:r>
        <w:rPr>
          <w:sz w:val="24"/>
          <w:rFonts w:ascii="Times New Roman" w:hAnsi="Times New Roman"/>
        </w:rPr>
        <w:t xml:space="preserve">C 34.02. - </w:t>
      </w:r>
      <w:r>
        <w:rPr>
          <w:sz w:val="24"/>
          <w:i/>
          <w:iCs/>
          <w:rFonts w:ascii="Times New Roman" w:hAnsi="Times New Roman"/>
        </w:rPr>
        <w:t xml:space="preserve">CCR</w:t>
      </w:r>
      <w:r>
        <w:rPr>
          <w:sz w:val="24"/>
          <w:rFonts w:ascii="Times New Roman" w:hAnsi="Times New Roman"/>
        </w:rPr>
        <w:t xml:space="preserve"> riska darījumi dalījumā pa pieejām</w:t>
      </w:r>
      <w:bookmarkEnd w:id="22"/>
      <w:bookmarkEnd w:id="23"/>
      <w:r>
        <w:rPr>
          <w:sz w:val="24"/>
          <w:rFonts w:ascii="Times New Roman" w:hAnsi="Times New Roman"/>
        </w:rPr>
        <w:t xml:space="preserve"> </w:t>
      </w:r>
    </w:p>
    <w:p w14:paraId="3FC7FDB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4" w:name="_Toc19715807"/>
      <w:bookmarkStart w:id="25" w:name="_Toc151714447"/>
      <w:r>
        <w:rPr>
          <w:sz w:val="24"/>
          <w:rFonts w:ascii="Times New Roman" w:hAnsi="Times New Roman"/>
        </w:rPr>
        <w:t xml:space="preserve">Vispārīgas piezīmes</w:t>
      </w:r>
      <w:bookmarkEnd w:id="24"/>
      <w:bookmarkEnd w:id="25"/>
    </w:p>
    <w:p w14:paraId="765D46FE" w14:textId="20A30CC8"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124</w:t>
      </w:r>
      <w:r>
        <w:fldChar w:fldCharType="end"/>
      </w:r>
      <w:r>
        <w:t xml:space="preserve">.</w:t>
      </w:r>
      <w:r>
        <w:t xml:space="preserve"> </w:t>
      </w:r>
      <w:r>
        <w:t xml:space="preserve">Iestādes šo veidni uzrāda atsevišķi visiem darījumu partnera kredītriska riska darījumiem un visiem darījumu partnera kredītriska riska darījumiem, izņemot riska darījumus ar centrālajiem darījumu partneriem (</w:t>
      </w:r>
      <w:r>
        <w:rPr>
          <w:i/>
          <w:iCs/>
        </w:rPr>
        <w:t xml:space="preserve">CCP</w:t>
      </w:r>
      <w:r>
        <w:t xml:space="preserve">), kā definēts C 34.10 veidnes nolūkā.</w:t>
      </w:r>
    </w:p>
    <w:p w14:paraId="737985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6" w:name="_Toc19715808"/>
      <w:bookmarkStart w:id="27" w:name="_Toc151714448"/>
      <w:r>
        <w:rPr>
          <w:sz w:val="24"/>
          <w:rFonts w:ascii="Times New Roman" w:hAnsi="Times New Roman"/>
        </w:rPr>
        <w:t xml:space="preserve">Norādes par konkrētām pozīcijām</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Slejas</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 xml:space="preserve">0010.</w:t>
            </w:r>
          </w:p>
        </w:tc>
        <w:tc>
          <w:tcPr>
            <w:tcW w:w="7655" w:type="dxa"/>
            <w:vAlign w:val="center"/>
          </w:tcPr>
          <w:p w14:paraId="2F369CA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DARĪJUMU PARTNERU SKAITS</w:t>
            </w:r>
          </w:p>
          <w:p w14:paraId="5D247700"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To atsevišķo darījumu partneru skaits, ar kuriem attiecīgajai iestādei ir darījumu partnera kredītriska riska darījumi.</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 xml:space="preserve">0020.</w:t>
            </w:r>
          </w:p>
        </w:tc>
        <w:tc>
          <w:tcPr>
            <w:tcW w:w="7655" w:type="dxa"/>
            <w:vAlign w:val="center"/>
          </w:tcPr>
          <w:p w14:paraId="6A419FF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DARĪJUMU SKAITS</w:t>
            </w:r>
          </w:p>
          <w:p w14:paraId="72A1DFED" w14:textId="77777777" w:rsidR="00EF74C7" w:rsidRPr="002A677E" w:rsidRDefault="00EF74C7" w:rsidP="00822842">
            <w:pPr>
              <w:autoSpaceDE w:val="0"/>
              <w:autoSpaceDN w:val="0"/>
              <w:adjustRightInd w:val="0"/>
              <w:spacing w:before="60"/>
              <w:rPr>
                <w:sz w:val="24"/>
                <w:rFonts w:ascii="Times New Roman" w:hAnsi="Times New Roman"/>
              </w:rPr>
            </w:pPr>
            <w:r>
              <w:rPr>
                <w:sz w:val="24"/>
                <w:rFonts w:ascii="Times New Roman" w:hAnsi="Times New Roman"/>
              </w:rPr>
              <w:t xml:space="preserve">To darījumu skaits, kam piemēro darījuma partnera kredītrisku pārskata datumā.</w:t>
            </w:r>
            <w:r>
              <w:rPr>
                <w:sz w:val="24"/>
                <w:rFonts w:ascii="Times New Roman" w:hAnsi="Times New Roman"/>
              </w:rPr>
              <w:t xml:space="preserve"> </w:t>
            </w:r>
            <w:r>
              <w:rPr>
                <w:sz w:val="24"/>
                <w:rFonts w:ascii="Times New Roman" w:hAnsi="Times New Roman"/>
              </w:rPr>
              <w:t xml:space="preserve">Jāņem vērā, ka attiecībā uz darījumiem ar centrālajiem darījumu partneriem, rādītājos nebūtu jāietver ienākošās vai izejošās plūsmas, bet gan kopējās pozīcijas centrālā darījumu partnera portfelī pārskata datumā.</w:t>
            </w:r>
            <w:r>
              <w:rPr>
                <w:sz w:val="24"/>
                <w:rFonts w:ascii="Times New Roman" w:hAnsi="Times New Roman"/>
              </w:rPr>
              <w:t xml:space="preserve"> </w:t>
            </w:r>
            <w:r>
              <w:rPr>
                <w:sz w:val="24"/>
                <w:rFonts w:ascii="Times New Roman" w:hAnsi="Times New Roman"/>
              </w:rPr>
              <w:t xml:space="preserve">Turklāt atvasināto instrumentu vai VFD, kas ir sadalīts (vismaz) divos vai vairākos darījuma posmos modelēšanas nolūkā, uzskata par vienu vienīgu darījumu.</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 xml:space="preserve">0030.</w:t>
            </w:r>
          </w:p>
        </w:tc>
        <w:tc>
          <w:tcPr>
            <w:tcW w:w="7655" w:type="dxa"/>
            <w:vAlign w:val="center"/>
          </w:tcPr>
          <w:p w14:paraId="31BBD50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NOSACĪTĀS SUMMAS</w:t>
            </w:r>
          </w:p>
          <w:p w14:paraId="0DE79C1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Nosacīto summu kopsumma par atvasinātajiem instrumentiem un VFD pirms savstarpējiem prasījumiem un korekcijām saskaņā ar Regulas (ES) Nr. 575/2013 279.b pantu.</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 xml:space="preserve">0040.</w:t>
            </w:r>
          </w:p>
        </w:tc>
        <w:tc>
          <w:tcPr>
            <w:tcW w:w="7655" w:type="dxa"/>
            <w:vAlign w:val="center"/>
          </w:tcPr>
          <w:p w14:paraId="0DCD00F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TIRGUS VĒRTĪBA (</w:t>
            </w:r>
            <w:r>
              <w:rPr>
                <w:rStyle w:val="InstructionsTabelleberschrift"/>
                <w:sz w:val="24"/>
                <w:i/>
                <w:iCs/>
                <w:rFonts w:ascii="Times New Roman" w:hAnsi="Times New Roman"/>
              </w:rPr>
              <w:t xml:space="preserve">CMV</w:t>
            </w:r>
            <w:r>
              <w:rPr>
                <w:rStyle w:val="InstructionsTabelleberschrift"/>
                <w:sz w:val="24"/>
                <w:rFonts w:ascii="Times New Roman" w:hAnsi="Times New Roman"/>
              </w:rPr>
              <w:t xml:space="preserve">), POZITĪVA</w:t>
            </w:r>
          </w:p>
          <w:p w14:paraId="0CABD62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272. panta 12. punkts</w:t>
            </w:r>
          </w:p>
          <w:p w14:paraId="37448E9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Visu savstarpējo prasījumu ieskaita kopu, kuru </w:t>
            </w:r>
            <w:r>
              <w:rPr>
                <w:sz w:val="24"/>
                <w:i/>
                <w:iCs/>
                <w:rFonts w:ascii="Times New Roman" w:hAnsi="Times New Roman"/>
              </w:rPr>
              <w:t xml:space="preserve">CMV</w:t>
            </w:r>
            <w:r>
              <w:rPr>
                <w:sz w:val="24"/>
                <w:rFonts w:ascii="Times New Roman" w:hAnsi="Times New Roman"/>
              </w:rPr>
              <w:t xml:space="preserve"> ir pozitīva, pašreizējo tirgus vērtību (</w:t>
            </w:r>
            <w:r>
              <w:rPr>
                <w:sz w:val="24"/>
                <w:i/>
                <w:iCs/>
                <w:rFonts w:ascii="Times New Roman" w:hAnsi="Times New Roman"/>
              </w:rPr>
              <w:t xml:space="preserve">CMV</w:t>
            </w:r>
            <w:r>
              <w:rPr>
                <w:sz w:val="24"/>
                <w:rFonts w:ascii="Times New Roman" w:hAnsi="Times New Roman"/>
              </w:rPr>
              <w:t xml:space="preserve">) summa, kā definēts Regulas (ES) Nr. 575/2013 272. panta 12. punktā.</w:t>
            </w:r>
            <w:r>
              <w:rPr>
                <w:sz w:val="24"/>
                <w:rFonts w:ascii="Times New Roman" w:hAnsi="Times New Roman"/>
              </w:rPr>
              <w:t xml:space="preserv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 xml:space="preserve">0050.</w:t>
            </w:r>
          </w:p>
        </w:tc>
        <w:tc>
          <w:tcPr>
            <w:tcW w:w="7655" w:type="dxa"/>
            <w:vAlign w:val="center"/>
          </w:tcPr>
          <w:p w14:paraId="4AE05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TIRGUS VĒRTĪBA (</w:t>
            </w:r>
            <w:r>
              <w:rPr>
                <w:rStyle w:val="InstructionsTabelleberschrift"/>
                <w:sz w:val="24"/>
                <w:i/>
                <w:iCs/>
                <w:rFonts w:ascii="Times New Roman" w:hAnsi="Times New Roman"/>
              </w:rPr>
              <w:t xml:space="preserve">CMV</w:t>
            </w:r>
            <w:r>
              <w:rPr>
                <w:rStyle w:val="InstructionsTabelleberschrift"/>
                <w:sz w:val="24"/>
                <w:rFonts w:ascii="Times New Roman" w:hAnsi="Times New Roman"/>
              </w:rPr>
              <w:t xml:space="preserve">), NEGATĪVA</w:t>
            </w:r>
          </w:p>
          <w:p w14:paraId="1AE578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272. panta 12. punkts</w:t>
            </w:r>
          </w:p>
          <w:p w14:paraId="7055CBF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Visu savstarpējo prasījumu ieskaita kopu, kuru </w:t>
            </w:r>
            <w:r>
              <w:rPr>
                <w:sz w:val="24"/>
                <w:i/>
                <w:iCs/>
                <w:rFonts w:ascii="Times New Roman" w:hAnsi="Times New Roman"/>
              </w:rPr>
              <w:t xml:space="preserve">CMV</w:t>
            </w:r>
            <w:r>
              <w:rPr>
                <w:sz w:val="24"/>
                <w:rFonts w:ascii="Times New Roman" w:hAnsi="Times New Roman"/>
              </w:rPr>
              <w:t xml:space="preserve"> ir negatīva, absolūto pašreizējo tirgus vērtību (</w:t>
            </w:r>
            <w:r>
              <w:rPr>
                <w:sz w:val="24"/>
                <w:i/>
                <w:iCs/>
                <w:rFonts w:ascii="Times New Roman" w:hAnsi="Times New Roman"/>
              </w:rPr>
              <w:t xml:space="preserve">CMV</w:t>
            </w:r>
            <w:r>
              <w:rPr>
                <w:sz w:val="24"/>
                <w:rFonts w:ascii="Times New Roman" w:hAnsi="Times New Roman"/>
              </w:rPr>
              <w:t xml:space="preserve">) summa, kā definēts Regulas (ES) Nr. 575/2013 272. panta 12. punktā.</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t xml:space="preserve">0060.</w:t>
            </w:r>
          </w:p>
        </w:tc>
        <w:tc>
          <w:tcPr>
            <w:tcW w:w="7655" w:type="dxa"/>
            <w:vAlign w:val="center"/>
          </w:tcPr>
          <w:p w14:paraId="48B3261E"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MAINĪGĀ DROŠĪBAS REZERVE (</w:t>
            </w:r>
            <w:r>
              <w:rPr>
                <w:rStyle w:val="InstructionsTabelleberschrift"/>
                <w:sz w:val="24"/>
                <w:i/>
                <w:iCs/>
                <w:rFonts w:ascii="Times New Roman" w:hAnsi="Times New Roman"/>
              </w:rPr>
              <w:t xml:space="preserve">VM</w:t>
            </w:r>
            <w:r>
              <w:rPr>
                <w:rStyle w:val="InstructionsTabelleberschrift"/>
                <w:sz w:val="24"/>
                <w:rFonts w:ascii="Times New Roman" w:hAnsi="Times New Roman"/>
              </w:rPr>
              <w:t xml:space="preserve">), SAŅEMTĀ</w:t>
            </w:r>
          </w:p>
          <w:p w14:paraId="1BCA2FE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275. panta 2. punkts, 275. panta 3. punkts un 276. punkts.</w:t>
            </w:r>
          </w:p>
          <w:p w14:paraId="369BA28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Visu līgumu par drošības rezervi, attiecībā uz kuriem ir saņemta mainīgā drošības rezerve, mainīgo drošības rezervju summu (</w:t>
            </w:r>
            <w:r>
              <w:rPr>
                <w:sz w:val="24"/>
                <w:i/>
                <w:iCs/>
                <w:rFonts w:ascii="Times New Roman" w:hAnsi="Times New Roman"/>
              </w:rPr>
              <w:t xml:space="preserve">VM</w:t>
            </w:r>
            <w:r>
              <w:rPr>
                <w:sz w:val="24"/>
                <w:rFonts w:ascii="Times New Roman" w:hAnsi="Times New Roman"/>
              </w:rPr>
              <w:t xml:space="preserve">) kopsumma, kas aprēķināta saskaņā ar Regulas (ES) Nr. 575/2013 276. pantu.</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 xml:space="preserve">0070.</w:t>
            </w:r>
          </w:p>
        </w:tc>
        <w:tc>
          <w:tcPr>
            <w:tcW w:w="7655" w:type="dxa"/>
            <w:vAlign w:val="center"/>
          </w:tcPr>
          <w:p w14:paraId="3CBA9D04"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MAINĪGĀ DROŠĪBAS REZERVE (</w:t>
            </w:r>
            <w:r>
              <w:rPr>
                <w:rStyle w:val="InstructionsTabelleberschrift"/>
                <w:sz w:val="24"/>
                <w:i/>
                <w:iCs/>
                <w:rFonts w:ascii="Times New Roman" w:hAnsi="Times New Roman"/>
              </w:rPr>
              <w:t xml:space="preserve">VM</w:t>
            </w:r>
            <w:r>
              <w:rPr>
                <w:rStyle w:val="InstructionsTabelleberschrift"/>
                <w:sz w:val="24"/>
                <w:rFonts w:ascii="Times New Roman" w:hAnsi="Times New Roman"/>
              </w:rPr>
              <w:t xml:space="preserve">), SNIEGTĀ</w:t>
            </w:r>
          </w:p>
          <w:p w14:paraId="5E2680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275. panta 2. punkts, 275. panta 3. punkts un 276. punkts.</w:t>
            </w:r>
          </w:p>
          <w:p w14:paraId="061EF38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Visu līgumu par drošības rezervi, attiecībā uz kuriem ir sniegta mainīgā drošības rezerve, mainīgo drošības rezervju summu (</w:t>
            </w:r>
            <w:r>
              <w:rPr>
                <w:sz w:val="24"/>
                <w:i/>
                <w:iCs/>
                <w:rFonts w:ascii="Times New Roman" w:hAnsi="Times New Roman"/>
              </w:rPr>
              <w:t xml:space="preserve">VM</w:t>
            </w:r>
            <w:r>
              <w:rPr>
                <w:sz w:val="24"/>
                <w:rFonts w:ascii="Times New Roman" w:hAnsi="Times New Roman"/>
              </w:rPr>
              <w:t xml:space="preserve">) kopsumma, kas aprēķināta saskaņā ar Regulas (ES) Nr. 575/2013 276. pantu.</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 xml:space="preserve">0080.</w:t>
            </w:r>
          </w:p>
        </w:tc>
        <w:tc>
          <w:tcPr>
            <w:tcW w:w="7655" w:type="dxa"/>
            <w:vAlign w:val="center"/>
          </w:tcPr>
          <w:p w14:paraId="2A71E90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NETO NEATKARĪGAIS NODROŠINĀJUMS (</w:t>
            </w:r>
            <w:r>
              <w:rPr>
                <w:rStyle w:val="InstructionsTabelleberschrift"/>
                <w:sz w:val="24"/>
                <w:i/>
                <w:iCs/>
                <w:rFonts w:ascii="Times New Roman" w:hAnsi="Times New Roman"/>
              </w:rPr>
              <w:t xml:space="preserve">NICA</w:t>
            </w:r>
            <w:r>
              <w:rPr>
                <w:rStyle w:val="InstructionsTabelleberschrift"/>
                <w:sz w:val="24"/>
                <w:rFonts w:ascii="Times New Roman" w:hAnsi="Times New Roman"/>
              </w:rPr>
              <w:t xml:space="preserve">), SAŅEMTAIS</w:t>
            </w:r>
            <w:r>
              <w:rPr>
                <w:rStyle w:val="InstructionsTabelleberschrift"/>
                <w:sz w:val="24"/>
                <w:rFonts w:ascii="Times New Roman" w:hAnsi="Times New Roman"/>
              </w:rPr>
              <w:t xml:space="preserve"> </w:t>
            </w:r>
          </w:p>
          <w:p w14:paraId="6F05E00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(EEK) Nr. 575/2013 272. panta 12.a punkts, 275. panta 3. punkts un 276. pants.</w:t>
            </w:r>
          </w:p>
          <w:p w14:paraId="4F712E2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Visu līgumu par drošības rezervi, attiecībā uz kuriem ir saņemts </w:t>
            </w:r>
            <w:r>
              <w:rPr>
                <w:sz w:val="24"/>
                <w:i/>
                <w:iCs/>
                <w:rFonts w:ascii="Times New Roman" w:hAnsi="Times New Roman"/>
              </w:rPr>
              <w:t xml:space="preserve">NICA</w:t>
            </w:r>
            <w:r>
              <w:rPr>
                <w:sz w:val="24"/>
                <w:rFonts w:ascii="Times New Roman" w:hAnsi="Times New Roman"/>
              </w:rPr>
              <w:t xml:space="preserve">, neto neatkarīgā nodrošinājuma (</w:t>
            </w:r>
            <w:r>
              <w:rPr>
                <w:sz w:val="24"/>
                <w:i/>
                <w:iCs/>
                <w:rFonts w:ascii="Times New Roman" w:hAnsi="Times New Roman"/>
              </w:rPr>
              <w:t xml:space="preserve">NICA</w:t>
            </w:r>
            <w:r>
              <w:rPr>
                <w:sz w:val="24"/>
                <w:rFonts w:ascii="Times New Roman" w:hAnsi="Times New Roman"/>
              </w:rPr>
              <w:t xml:space="preserve">) kopsumma, kas aprēķināta saskaņā ar Regulas (ES) Nr. 575/2013 276. pantu.</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 xml:space="preserve">0090.</w:t>
            </w:r>
          </w:p>
        </w:tc>
        <w:tc>
          <w:tcPr>
            <w:tcW w:w="7655" w:type="dxa"/>
            <w:vAlign w:val="center"/>
          </w:tcPr>
          <w:p w14:paraId="0E262EAD"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NETO NEATKARĪGAIS NODROŠINĀJUMS (NICA), SNIEGTAIS</w:t>
            </w:r>
            <w:r>
              <w:rPr>
                <w:rStyle w:val="InstructionsTabelleberschrift"/>
                <w:sz w:val="24"/>
                <w:rFonts w:ascii="Times New Roman" w:hAnsi="Times New Roman"/>
              </w:rPr>
              <w:t xml:space="preserve"> </w:t>
            </w:r>
          </w:p>
          <w:p w14:paraId="69D94B0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(EEK) Nr. 575/2013 272. panta 12.a punkts, 275. panta 3. punkts un 276. pants.</w:t>
            </w:r>
          </w:p>
          <w:p w14:paraId="501F735A"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Visu līgumu par drošības rezervi, attiecībā uz kuriem ir sniegts </w:t>
            </w:r>
            <w:r>
              <w:rPr>
                <w:sz w:val="24"/>
                <w:i/>
                <w:iCs/>
                <w:rFonts w:ascii="Times New Roman" w:hAnsi="Times New Roman"/>
              </w:rPr>
              <w:t xml:space="preserve">NICA</w:t>
            </w:r>
            <w:r>
              <w:rPr>
                <w:sz w:val="24"/>
                <w:rFonts w:ascii="Times New Roman" w:hAnsi="Times New Roman"/>
              </w:rPr>
              <w:t xml:space="preserve">, neto neatkarīgā nodrošinājuma (</w:t>
            </w:r>
            <w:r>
              <w:rPr>
                <w:sz w:val="24"/>
                <w:i/>
                <w:iCs/>
                <w:rFonts w:ascii="Times New Roman" w:hAnsi="Times New Roman"/>
              </w:rPr>
              <w:t xml:space="preserve">NICA</w:t>
            </w:r>
            <w:r>
              <w:rPr>
                <w:sz w:val="24"/>
                <w:rFonts w:ascii="Times New Roman" w:hAnsi="Times New Roman"/>
              </w:rPr>
              <w:t xml:space="preserve">) kopsumma, kas aprēķināta saskaņā ar Regulas (ES) Nr. 575/2013 276. pantu.</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 xml:space="preserve">0100.</w:t>
            </w:r>
          </w:p>
        </w:tc>
        <w:tc>
          <w:tcPr>
            <w:tcW w:w="7655" w:type="dxa"/>
            <w:vAlign w:val="center"/>
          </w:tcPr>
          <w:p w14:paraId="4F8024BE"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AIZVIETOŠANAS VĒRTĪBA (</w:t>
            </w:r>
            <w:r>
              <w:rPr>
                <w:rStyle w:val="InstructionsTabelleberschrift"/>
                <w:sz w:val="24"/>
                <w:i/>
                <w:iCs/>
                <w:rFonts w:ascii="Times New Roman" w:hAnsi="Times New Roman"/>
              </w:rPr>
              <w:t xml:space="preserve">RC</w:t>
            </w:r>
            <w:r>
              <w:rPr>
                <w:rStyle w:val="InstructionsTabelleberschrift"/>
                <w:sz w:val="24"/>
                <w:rFonts w:ascii="Times New Roman" w:hAnsi="Times New Roman"/>
              </w:rPr>
              <w:t xml:space="preserve">)</w:t>
            </w:r>
            <w:r>
              <w:rPr>
                <w:rStyle w:val="InstructionsTabelleberschrift"/>
                <w:sz w:val="24"/>
                <w:rFonts w:ascii="Times New Roman" w:hAnsi="Times New Roman"/>
              </w:rPr>
              <w:t xml:space="preserve"> </w:t>
            </w:r>
          </w:p>
          <w:p w14:paraId="020E5CFA"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Regulas (ES) Nr. 575/2013 275., 281. un 282. pants</w:t>
            </w:r>
          </w:p>
          <w:p w14:paraId="7C118F06" w14:textId="77777777" w:rsidR="00EF74C7" w:rsidRPr="002A677E" w:rsidRDefault="00EF74C7" w:rsidP="00822842">
            <w:pPr>
              <w:pStyle w:val="TableMainHeading"/>
              <w:spacing w:before="0" w:after="0"/>
              <w:jc w:val="both"/>
              <w:rPr>
                <w:sz w:val="24"/>
                <w:szCs w:val="24"/>
                <w:rFonts w:ascii="Times New Roman" w:hAnsi="Times New Roman"/>
              </w:rPr>
            </w:pPr>
            <w:r>
              <w:rPr>
                <w:sz w:val="24"/>
                <w:rFonts w:ascii="Times New Roman" w:hAnsi="Times New Roman"/>
              </w:rPr>
              <w:t xml:space="preserve">Aizvietošanas vērtību (</w:t>
            </w:r>
            <w:r>
              <w:rPr>
                <w:sz w:val="24"/>
                <w:i/>
                <w:iCs/>
                <w:rFonts w:ascii="Times New Roman" w:hAnsi="Times New Roman"/>
              </w:rPr>
              <w:t xml:space="preserve">RC</w:t>
            </w:r>
            <w:r>
              <w:rPr>
                <w:sz w:val="24"/>
                <w:rFonts w:ascii="Times New Roman" w:hAnsi="Times New Roman"/>
              </w:rPr>
              <w:t xml:space="preserve">) savstarpējo prasījumu ieskaita kopai aprēķina saskaņā ar:</w:t>
            </w:r>
            <w:r>
              <w:rPr>
                <w:sz w:val="24"/>
                <w:rFonts w:ascii="Times New Roman" w:hAnsi="Times New Roman"/>
              </w:rPr>
              <w:t xml:space="preserve"> </w:t>
            </w:r>
          </w:p>
          <w:p w14:paraId="48A8DFD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Regulas (ES) Nr. 575/2013 282. panta 3. punktu attiecībā uz sākotnējās riska darījuma vērtības metodi,</w:t>
            </w:r>
            <w:r>
              <w:rPr>
                <w:sz w:val="24"/>
                <w:rFonts w:ascii="Times New Roman" w:hAnsi="Times New Roman"/>
              </w:rPr>
              <w:t xml:space="preserve"> </w:t>
            </w:r>
          </w:p>
          <w:p w14:paraId="119FA22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Regulas (ES) Nr. 575/2013 281. pantu attiecībā uz vienkāršoto </w:t>
            </w:r>
            <w:r>
              <w:rPr>
                <w:sz w:val="24"/>
                <w:i/>
                <w:iCs/>
                <w:rFonts w:ascii="Times New Roman" w:hAnsi="Times New Roman"/>
              </w:rPr>
              <w:t xml:space="preserve">SA-CCR</w:t>
            </w:r>
            <w:r>
              <w:rPr>
                <w:sz w:val="24"/>
                <w:rFonts w:ascii="Times New Roman" w:hAnsi="Times New Roman"/>
              </w:rPr>
              <w:t xml:space="preserve">,</w:t>
            </w:r>
          </w:p>
          <w:p w14:paraId="341C9FB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Regulas (ES) Nr. 575/2013 275. pantu attiecībā uz </w:t>
            </w:r>
            <w:r>
              <w:rPr>
                <w:sz w:val="24"/>
                <w:i/>
                <w:iCs/>
                <w:rFonts w:ascii="Times New Roman" w:hAnsi="Times New Roman"/>
              </w:rPr>
              <w:t xml:space="preserve">SA-CCR</w:t>
            </w:r>
            <w:r>
              <w:rPr>
                <w:sz w:val="24"/>
                <w:rFonts w:ascii="Times New Roman" w:hAnsi="Times New Roman"/>
              </w:rPr>
              <w:t xml:space="preserve">.</w:t>
            </w:r>
          </w:p>
          <w:p w14:paraId="4927F86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Iestāde uzrāda savstarpējo prasījumu ieskaita kopu aizvietošanas vērtības summu attiecīgajā rindā.</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 xml:space="preserve">0110.</w:t>
            </w:r>
          </w:p>
        </w:tc>
        <w:tc>
          <w:tcPr>
            <w:tcW w:w="7655" w:type="dxa"/>
            <w:vAlign w:val="center"/>
          </w:tcPr>
          <w:p w14:paraId="2874AC61"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POTENCIĀLĀ NĀKOTNES RISKA POZĪCIJU VĒRTĪBA (</w:t>
            </w:r>
            <w:r>
              <w:rPr>
                <w:rStyle w:val="InstructionsTabelleberschrift"/>
                <w:sz w:val="24"/>
                <w:i/>
                <w:iCs/>
                <w:rFonts w:ascii="Times New Roman" w:hAnsi="Times New Roman"/>
              </w:rPr>
              <w:t xml:space="preserve">PFE</w:t>
            </w:r>
            <w:r>
              <w:rPr>
                <w:rStyle w:val="InstructionsTabelleberschrift"/>
                <w:sz w:val="24"/>
                <w:rFonts w:ascii="Times New Roman" w:hAnsi="Times New Roman"/>
              </w:rPr>
              <w:t xml:space="preserve">)</w:t>
            </w:r>
          </w:p>
          <w:p w14:paraId="1F05C741"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Regulas (ES) Nr. 575/2013 278., 281. un 282. pants</w:t>
            </w:r>
          </w:p>
          <w:p w14:paraId="3BB9BD1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Potenciālo nākotnes riska pozīciju vērtību (</w:t>
            </w:r>
            <w:r>
              <w:rPr>
                <w:sz w:val="24"/>
                <w:i/>
                <w:iCs/>
                <w:rFonts w:ascii="Times New Roman" w:hAnsi="Times New Roman"/>
              </w:rPr>
              <w:t xml:space="preserve">PFE</w:t>
            </w:r>
            <w:r>
              <w:rPr>
                <w:sz w:val="24"/>
                <w:rFonts w:ascii="Times New Roman" w:hAnsi="Times New Roman"/>
              </w:rPr>
              <w:t xml:space="preserve">) savstarpējo prasījumu ieskaita kopai aprēķina saskaņā ar:</w:t>
            </w:r>
            <w:r>
              <w:rPr>
                <w:sz w:val="24"/>
                <w:rFonts w:ascii="Times New Roman" w:hAnsi="Times New Roman"/>
              </w:rPr>
              <w:t xml:space="preserve"> </w:t>
            </w:r>
          </w:p>
          <w:p w14:paraId="5F96EE5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Regulas (ES) Nr. 575/2013 282. panta 4. punktu attiecībā uz sākotnējās riska darījuma vērtības metodi,</w:t>
            </w:r>
            <w:r>
              <w:rPr>
                <w:sz w:val="24"/>
                <w:rFonts w:ascii="Times New Roman" w:hAnsi="Times New Roman"/>
              </w:rPr>
              <w:t xml:space="preserve"> </w:t>
            </w:r>
          </w:p>
          <w:p w14:paraId="3C4296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Regulas (ES) Nr. 575/2013 281. pantu attiecībā uz vienkāršoto </w:t>
            </w:r>
            <w:r>
              <w:rPr>
                <w:sz w:val="24"/>
                <w:i/>
                <w:iCs/>
                <w:rFonts w:ascii="Times New Roman" w:hAnsi="Times New Roman"/>
              </w:rPr>
              <w:t xml:space="preserve">SA-CCR</w:t>
            </w:r>
            <w:r>
              <w:rPr>
                <w:sz w:val="24"/>
                <w:rFonts w:ascii="Times New Roman" w:hAnsi="Times New Roman"/>
              </w:rPr>
              <w:t xml:space="preserve">,</w:t>
            </w:r>
          </w:p>
          <w:p w14:paraId="6194F2A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Regulas (ES) Nr. 575/2013 278. pantu attiecībā uz </w:t>
            </w:r>
            <w:r>
              <w:rPr>
                <w:sz w:val="24"/>
                <w:i/>
                <w:iCs/>
                <w:rFonts w:ascii="Times New Roman" w:hAnsi="Times New Roman"/>
              </w:rPr>
              <w:t xml:space="preserve">SA-CCR</w:t>
            </w:r>
            <w:r>
              <w:rPr>
                <w:sz w:val="24"/>
                <w:rFonts w:ascii="Times New Roman" w:hAnsi="Times New Roman"/>
              </w:rPr>
              <w:t xml:space="preserve">.</w:t>
            </w:r>
          </w:p>
          <w:p w14:paraId="2A2F0E46"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Iestāde uzrāda visu savstarpējo prasījumu ieskaita kopu potenciālo nākotnes riska darījumu summu attiecīgajā rindā.</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t xml:space="preserve">0120.</w:t>
            </w:r>
          </w:p>
        </w:tc>
        <w:tc>
          <w:tcPr>
            <w:tcW w:w="7655" w:type="dxa"/>
            <w:vAlign w:val="center"/>
          </w:tcPr>
          <w:p w14:paraId="1B837C4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RISKA DARĪJUMU VĒRTĪBA</w:t>
            </w:r>
          </w:p>
          <w:p w14:paraId="1E44224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Regulas (ES) Nr. 575/2013 272. panta 17. punkts</w:t>
            </w:r>
            <w:r>
              <w:rPr>
                <w:sz w:val="24"/>
                <w:rFonts w:ascii="Times New Roman" w:hAnsi="Times New Roman"/>
              </w:rPr>
              <w:t xml:space="preserve"> </w:t>
            </w:r>
          </w:p>
          <w:p w14:paraId="36E3361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Pašreizējā riska darījumu vērtība savstarpējo prasījumu ieskaita kopai ir vērtība, kas definēta Regulas (ES) Nr. 575/2013 272. panta 17. punktā. Iestāde uzrāda visu savstarpējo prasījumu ieskaita kopu pašreizējo riska darījumu summu attiecīgajā rindā.</w:t>
            </w:r>
          </w:p>
          <w:p w14:paraId="459ECA5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Iestāde uzrāda visu savstarpējo prasījumu ieskaita kopu pašreizējo riska darījumu summu attiecīgajā rindā.</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 xml:space="preserve">0130.</w:t>
            </w:r>
          </w:p>
        </w:tc>
        <w:tc>
          <w:tcPr>
            <w:tcW w:w="7655" w:type="dxa"/>
            <w:vAlign w:val="center"/>
          </w:tcPr>
          <w:p w14:paraId="3EC3B867"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EFEKTĪVĀ SAGAIDĀMĀ POZITĪVĀ RISKA DARĪJUMU VĒRTĪBA (</w:t>
            </w:r>
            <w:r>
              <w:rPr>
                <w:rStyle w:val="InstructionsTabelleberschrift"/>
                <w:sz w:val="24"/>
                <w:i/>
                <w:iCs/>
                <w:rFonts w:ascii="Times New Roman" w:hAnsi="Times New Roman"/>
              </w:rPr>
              <w:t xml:space="preserve">EEPE</w:t>
            </w:r>
            <w:r>
              <w:rPr>
                <w:rStyle w:val="InstructionsTabelleberschrift"/>
                <w:sz w:val="24"/>
                <w:rFonts w:ascii="Times New Roman" w:hAnsi="Times New Roman"/>
              </w:rPr>
              <w:t xml:space="preserve">)</w:t>
            </w:r>
          </w:p>
          <w:p w14:paraId="758613C4"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Regulas (ES) Nr. 575/2013 272. panta 22. punkts un 284. panta 3. punkts, un 284. panta 6. punkts.</w:t>
            </w:r>
          </w:p>
          <w:p w14:paraId="33B149EE" w14:textId="77777777" w:rsidR="00EF74C7" w:rsidRPr="002A677E" w:rsidRDefault="00EF74C7" w:rsidP="00822842">
            <w:pPr>
              <w:pStyle w:val="Default"/>
              <w:spacing w:after="120"/>
              <w:jc w:val="both"/>
              <w:rPr>
                <w:color w:val="auto"/>
                <w:rFonts w:ascii="Times New Roman" w:hAnsi="Times New Roman" w:cs="Times New Roman"/>
              </w:rPr>
            </w:pPr>
            <w:r>
              <w:rPr>
                <w:color w:val="auto"/>
                <w:rFonts w:ascii="Times New Roman" w:hAnsi="Times New Roman"/>
              </w:rPr>
              <w:t xml:space="preserve">Efektīvā sagaidāmā pozitīvā riska darījumu vērtība (</w:t>
            </w:r>
            <w:r>
              <w:rPr>
                <w:color w:val="auto"/>
                <w:i/>
                <w:iCs/>
                <w:rFonts w:ascii="Times New Roman" w:hAnsi="Times New Roman"/>
              </w:rPr>
              <w:t xml:space="preserve">EEPE</w:t>
            </w:r>
            <w:r>
              <w:rPr>
                <w:color w:val="auto"/>
                <w:rFonts w:ascii="Times New Roman" w:hAnsi="Times New Roman"/>
              </w:rPr>
              <w:t xml:space="preserve">) katrai savstarpējo prasījumu ieskaita kopai ir definēta Regulas (ES) Nr. 575/2013 272. panta 22. punktā un to aprēķina saskaņā ar Regulas (ES) Nr. 575/2013 284. panta 6. punktu.</w:t>
            </w:r>
          </w:p>
          <w:p w14:paraId="336DEF87"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Iestāde uzrāda visu </w:t>
            </w:r>
            <w:r>
              <w:rPr>
                <w:sz w:val="24"/>
                <w:i/>
                <w:iCs/>
                <w:rFonts w:ascii="Times New Roman" w:hAnsi="Times New Roman"/>
              </w:rPr>
              <w:t xml:space="preserve">EEPE</w:t>
            </w:r>
            <w:r>
              <w:rPr>
                <w:sz w:val="24"/>
                <w:rFonts w:ascii="Times New Roman" w:hAnsi="Times New Roman"/>
              </w:rPr>
              <w:t xml:space="preserve"> summu, kas piemērotas, lai noteiktu pašu kapitāla prasības saskaņā ar Regulas (ES) Nr. 575/2013 284. panta 3. punktu, t. i., vai nu </w:t>
            </w:r>
            <w:r>
              <w:rPr>
                <w:sz w:val="24"/>
                <w:i/>
                <w:iCs/>
                <w:rFonts w:ascii="Times New Roman" w:hAnsi="Times New Roman"/>
              </w:rPr>
              <w:t xml:space="preserve">EEPE</w:t>
            </w:r>
            <w:r>
              <w:rPr>
                <w:sz w:val="24"/>
                <w:rFonts w:ascii="Times New Roman" w:hAnsi="Times New Roman"/>
              </w:rPr>
              <w:t xml:space="preserve">, kas aprēķināta, izmantojot pašreizējos tirgus datus, vai </w:t>
            </w:r>
            <w:r>
              <w:rPr>
                <w:sz w:val="24"/>
                <w:i/>
                <w:iCs/>
                <w:rFonts w:ascii="Times New Roman" w:hAnsi="Times New Roman"/>
              </w:rPr>
              <w:t xml:space="preserve">EEPE</w:t>
            </w:r>
            <w:r>
              <w:rPr>
                <w:sz w:val="24"/>
                <w:rFonts w:ascii="Times New Roman" w:hAnsi="Times New Roman"/>
              </w:rPr>
              <w:t xml:space="preserve">, kas aprēķināta, izmantojot spriedzes kalibrēšanu, ņemot vērā to, kura rezultātā ģenerē augstākas pašu kapitāla prasības.</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 xml:space="preserve">0140.</w:t>
            </w:r>
          </w:p>
        </w:tc>
        <w:tc>
          <w:tcPr>
            <w:tcW w:w="7655" w:type="dxa"/>
            <w:vAlign w:val="center"/>
          </w:tcPr>
          <w:p w14:paraId="2682CC5B"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REGULATĪVĀS RISKA DARĪJUMU VĒRTĪBAS APRĒĶINIEM IZMANTOTĀ ALFA</w:t>
            </w:r>
            <w:r>
              <w:rPr>
                <w:rStyle w:val="InstructionsTabelleberschrift"/>
                <w:sz w:val="24"/>
                <w:rFonts w:ascii="Times New Roman" w:hAnsi="Times New Roman"/>
              </w:rPr>
              <w:t xml:space="preserve"> </w:t>
            </w:r>
          </w:p>
          <w:p w14:paraId="02E67AA1"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Regulas (ES) Nr. 575/2013 274. panta 2. punkts, 282. panta 2. punkts, 281. panta 1. punkts, 284. panta 4. un 9. punkts.</w:t>
            </w:r>
          </w:p>
          <w:p w14:paraId="5EFB3579"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Alfa (α) vērtību nosaka kā 1.4 rindās attiecībā uz </w:t>
            </w:r>
            <w:r>
              <w:rPr>
                <w:sz w:val="24"/>
                <w:i/>
                <w:iCs/>
                <w:rFonts w:ascii="Times New Roman" w:hAnsi="Times New Roman"/>
              </w:rPr>
              <w:t xml:space="preserve">OEM</w:t>
            </w:r>
            <w:r>
              <w:rPr>
                <w:sz w:val="24"/>
                <w:rFonts w:ascii="Times New Roman" w:hAnsi="Times New Roman"/>
              </w:rPr>
              <w:t xml:space="preserve">, vienkāršoto </w:t>
            </w:r>
            <w:r>
              <w:rPr>
                <w:sz w:val="24"/>
                <w:i/>
                <w:iCs/>
                <w:rFonts w:ascii="Times New Roman" w:hAnsi="Times New Roman"/>
              </w:rPr>
              <w:t xml:space="preserve">SA-CCR</w:t>
            </w:r>
            <w:r>
              <w:rPr>
                <w:sz w:val="24"/>
                <w:rFonts w:ascii="Times New Roman" w:hAnsi="Times New Roman"/>
              </w:rPr>
              <w:t xml:space="preserve"> un </w:t>
            </w:r>
            <w:r>
              <w:rPr>
                <w:sz w:val="24"/>
                <w:i/>
                <w:iCs/>
                <w:rFonts w:ascii="Times New Roman" w:hAnsi="Times New Roman"/>
              </w:rPr>
              <w:t xml:space="preserve">SA-CCR</w:t>
            </w:r>
            <w:r>
              <w:rPr>
                <w:sz w:val="24"/>
                <w:rFonts w:ascii="Times New Roman" w:hAnsi="Times New Roman"/>
              </w:rPr>
              <w:t xml:space="preserve"> saskaņā ar Regulas (ES) Nr. 575/2013 282. panta 2. punktu, 281. panta 1. punktu un 274. panta 2. punktu.</w:t>
            </w:r>
            <w:r>
              <w:rPr>
                <w:sz w:val="24"/>
                <w:rFonts w:ascii="Times New Roman" w:hAnsi="Times New Roman"/>
              </w:rPr>
              <w:t xml:space="preserve"> </w:t>
            </w:r>
            <w:r>
              <w:rPr>
                <w:sz w:val="24"/>
                <w:rFonts w:ascii="Times New Roman" w:hAnsi="Times New Roman"/>
              </w:rPr>
              <w:t xml:space="preserve">IMM nolūkos α vērtība var būt gan 1.4 vai atšķirīga, ja kompetentās iestādes pieprasa augstāku α saskaņā ar Regulas (ES) Nr. 575/2013 284. panta 4. punktu vai ļauj iestādēm izmantot pašu aplēses saskaņā ar minētās Regulas 284. panta 9. punktu.</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 xml:space="preserve">0150.</w:t>
            </w:r>
          </w:p>
        </w:tc>
        <w:tc>
          <w:tcPr>
            <w:tcW w:w="7655" w:type="dxa"/>
          </w:tcPr>
          <w:p w14:paraId="737A43B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RISKA DARĪJUMU VĒRTĪBA PIRMS KRM</w:t>
            </w:r>
            <w:r>
              <w:rPr>
                <w:rStyle w:val="InstructionsTabelleberschrift"/>
                <w:sz w:val="24"/>
                <w:rFonts w:ascii="Times New Roman" w:hAnsi="Times New Roman"/>
              </w:rPr>
              <w:t xml:space="preserve"> </w:t>
            </w:r>
          </w:p>
          <w:p w14:paraId="3483D02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Riska darījumu vērtību pirms KRM </w:t>
            </w:r>
            <w:r>
              <w:rPr>
                <w:sz w:val="24"/>
                <w:i/>
                <w:iCs/>
                <w:rFonts w:ascii="Times New Roman" w:hAnsi="Times New Roman"/>
              </w:rPr>
              <w:t xml:space="preserve">CCR</w:t>
            </w:r>
            <w:r>
              <w:rPr>
                <w:sz w:val="24"/>
                <w:rFonts w:ascii="Times New Roman" w:hAnsi="Times New Roman"/>
              </w:rPr>
              <w:t xml:space="preserve"> savstarpējo prasījumu ieskaita kopām aprēķina saskaņā ar metodēm, kuras izklāstītas Regulas (ES) Nr. 575/2013 Trešās daļas II sadaļas 4. un 6. nodaļā, ņemot vērā savstarpējo prasījumu ieskaita ietekmi, bet neņemot vērā citas kredītriska mazināšanas metodes (piem., drošības rezerves nodrošinājums).</w:t>
            </w:r>
            <w:r>
              <w:rPr>
                <w:sz w:val="24"/>
                <w:rFonts w:ascii="Times New Roman" w:hAnsi="Times New Roman"/>
              </w:rPr>
              <w:t xml:space="preserve"> </w:t>
            </w:r>
          </w:p>
          <w:p w14:paraId="3FD5C6A1"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Attiecībā uz VFD, nosakot riska darījumu vērtību pirms KRM, neņem vērā vērtspapīru pozīciju, ja nodrošinājums ir saņemts un līdz ar to nesamazina riska darījumu vērtību.</w:t>
            </w:r>
            <w:r>
              <w:rPr>
                <w:sz w:val="24"/>
                <w:rFonts w:ascii="Times New Roman" w:hAnsi="Times New Roman"/>
              </w:rPr>
              <w:t xml:space="preserve"> </w:t>
            </w:r>
            <w:r>
              <w:rPr>
                <w:sz w:val="24"/>
                <w:rFonts w:ascii="Times New Roman" w:hAnsi="Times New Roman"/>
              </w:rPr>
              <w:t xml:space="preserve">Turpretī VFD nodrošinājuma daļu ņem vērā, lai noteiktu riska darījumu vērtību pirms kredītriska mazināšanas parastajā veidā, kad ir izvietots nodrošinājums.</w:t>
            </w:r>
            <w:r>
              <w:rPr>
                <w:sz w:val="24"/>
                <w:rFonts w:ascii="Times New Roman" w:hAnsi="Times New Roman"/>
              </w:rPr>
              <w:t xml:space="preserve"> </w:t>
            </w:r>
          </w:p>
          <w:p w14:paraId="0731F37F"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Turklāt nodrošinātos darījumus apstrādā kā nenodrošinātos, t.i., uz tiem neattiecas drošības rezerves noteikšanas ietekme.</w:t>
            </w:r>
            <w:r>
              <w:rPr>
                <w:sz w:val="24"/>
                <w:rFonts w:ascii="Times New Roman" w:hAnsi="Times New Roman"/>
              </w:rPr>
              <w:t xml:space="preserve"> </w:t>
            </w:r>
          </w:p>
          <w:p w14:paraId="2256FCE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Riska darījuma vērtība pirms KRM darījumiem, kuros ir konstatēts specifiskais korelācijas risks, ir jānosaka saskaņā ar Regulas (ES) Nr. 575/2013 291. pantu.</w:t>
            </w:r>
            <w:r>
              <w:rPr>
                <w:sz w:val="24"/>
                <w:rFonts w:ascii="Times New Roman" w:hAnsi="Times New Roman"/>
              </w:rPr>
              <w:t xml:space="preserve"> </w:t>
            </w:r>
          </w:p>
          <w:p w14:paraId="7E319C8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Riska darījumu vērtībā pirms kredītriska mazināšanas neņem vērā radušos </w:t>
            </w:r>
            <w:r>
              <w:rPr>
                <w:sz w:val="24"/>
                <w:i/>
                <w:iCs/>
                <w:rFonts w:ascii="Times New Roman" w:hAnsi="Times New Roman"/>
              </w:rPr>
              <w:t xml:space="preserve">CVA</w:t>
            </w:r>
            <w:r>
              <w:rPr>
                <w:sz w:val="24"/>
                <w:rFonts w:ascii="Times New Roman" w:hAnsi="Times New Roman"/>
              </w:rPr>
              <w:t xml:space="preserve"> zaudējumu atskaitījumu saskaņā ar Regulas (ES) Nr. 575/2013 273. panta 6. punktu.</w:t>
            </w:r>
            <w:r>
              <w:rPr>
                <w:sz w:val="24"/>
                <w:rFonts w:ascii="Times New Roman" w:hAnsi="Times New Roman"/>
              </w:rPr>
              <w:t xml:space="preserve"> </w:t>
            </w:r>
          </w:p>
          <w:p w14:paraId="504F137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Iestāde uzrāda visu pirms KRM riska darījumu vērtību summu attiecīgajā rindā.</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t xml:space="preserve">0160.</w:t>
            </w:r>
          </w:p>
        </w:tc>
        <w:tc>
          <w:tcPr>
            <w:tcW w:w="7655" w:type="dxa"/>
          </w:tcPr>
          <w:p w14:paraId="2175395B"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RISKA DARĪJUMU VĒRTĪBA PĒC KRM</w:t>
            </w:r>
            <w:r>
              <w:rPr>
                <w:rStyle w:val="InstructionsTabelleberschrift"/>
                <w:sz w:val="24"/>
                <w:rFonts w:ascii="Times New Roman" w:hAnsi="Times New Roman"/>
              </w:rPr>
              <w:t xml:space="preserve"> </w:t>
            </w:r>
          </w:p>
          <w:p w14:paraId="29261E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Riska darījumu vērtību pēc kredītriska mazināšanas </w:t>
            </w:r>
            <w:r>
              <w:rPr>
                <w:sz w:val="24"/>
                <w:i/>
                <w:iCs/>
                <w:rFonts w:ascii="Times New Roman" w:hAnsi="Times New Roman"/>
              </w:rPr>
              <w:t xml:space="preserve">CCR</w:t>
            </w:r>
            <w:r>
              <w:rPr>
                <w:sz w:val="24"/>
                <w:rFonts w:ascii="Times New Roman" w:hAnsi="Times New Roman"/>
              </w:rPr>
              <w:t xml:space="preserve"> savstarpējo prasījumu ieskaita kopām aprēķina saskaņā ar metodēm, kas noteiktas Regulas (ES) Nr. 575/2013 Trešās daļas II sadaļas 4. un 6. nodaļā, piemērojot kredītriska mazināšanas metodes, kas piemērojamas saskaņā ar minētās regulas Trešās daļas II sadaļas 4. un 6. nodaļu.</w:t>
            </w:r>
          </w:p>
          <w:p w14:paraId="365B588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Riska darījumu vērtība pēc KRM darījumiem, kuros ir konstatēts specifiskais korelācijas risks, ir jānosaka saskaņā ar Regulas (ES) Nr. 575/2013 291. pantu.</w:t>
            </w:r>
            <w:r>
              <w:rPr>
                <w:sz w:val="24"/>
                <w:rFonts w:ascii="Times New Roman" w:hAnsi="Times New Roman"/>
              </w:rPr>
              <w:t xml:space="preserve"> </w:t>
            </w:r>
          </w:p>
          <w:p w14:paraId="695EEB6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Riska darījumu vērtībā pēc KRM neņem vērā radušās kredīta vērtības korekcijas zaudējuma atskaitījumu saskaņā ar Regulas (ES) Nr. 575/2013 273. panta 6. punktu.</w:t>
            </w:r>
          </w:p>
          <w:p w14:paraId="797ADF5B"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Iestāde uzrāda visu pēc KRM riska darījumu vērtību summu attiecīgajā rindā.</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 xml:space="preserve">0170.</w:t>
            </w:r>
          </w:p>
        </w:tc>
        <w:tc>
          <w:tcPr>
            <w:tcW w:w="7655" w:type="dxa"/>
            <w:vAlign w:val="center"/>
          </w:tcPr>
          <w:p w14:paraId="05219E98"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RISKA DARĪJUMU VĒRTĪBA</w:t>
            </w:r>
          </w:p>
          <w:p w14:paraId="75CDF24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Riska darījumu vērtība</w:t>
            </w:r>
            <w:r>
              <w:rPr>
                <w:sz w:val="24"/>
                <w:i/>
                <w:iCs/>
                <w:rFonts w:ascii="Times New Roman" w:hAnsi="Times New Roman"/>
              </w:rPr>
              <w:t xml:space="preserve"> CCR</w:t>
            </w:r>
            <w:r>
              <w:rPr>
                <w:sz w:val="24"/>
                <w:rFonts w:ascii="Times New Roman" w:hAnsi="Times New Roman"/>
              </w:rPr>
              <w:t xml:space="preserve"> darījumiem, kas aprēķināta saskaņā ar Regulas (ES) Nr. 575/2013 Trešās daļas II sadaļas 4. un 6. nodaļā izklāstītajām metodēm, kas ir attiecīgā summa riska darījumu riska svērtās vērtības aprēķināšanai, t. i., attiecīgi izmantojot kredītriska mazināšanas metodes saskaņā ar Regulas (ES) Nr. 575/2013 Trešās daļas II sadaļas 4. un 6. nodaļu un ņemot vērā radušās kredīta vērtības korekcijas zaudējuma atskaitījumu, kā norādīts minētās regulas 273. panta 6. punktā.</w:t>
            </w:r>
            <w:r>
              <w:rPr>
                <w:sz w:val="24"/>
                <w:rFonts w:ascii="Times New Roman" w:hAnsi="Times New Roman"/>
              </w:rPr>
              <w:t xml:space="preserve"> </w:t>
            </w:r>
          </w:p>
          <w:p w14:paraId="78D55FF1" w14:textId="77777777" w:rsidR="00EF74C7" w:rsidRPr="002A677E" w:rsidRDefault="00EF74C7" w:rsidP="00822842">
            <w:pPr>
              <w:rPr>
                <w:sz w:val="24"/>
                <w:rFonts w:ascii="Times New Roman" w:hAnsi="Times New Roman"/>
              </w:rPr>
            </w:pPr>
            <w:r>
              <w:rPr>
                <w:sz w:val="24"/>
                <w:rFonts w:ascii="Times New Roman" w:hAnsi="Times New Roman"/>
              </w:rPr>
              <w:t xml:space="preserve">Riska darījumu vērtība darījumiem, kuros ir konstatēts specifiskais korelācijas risks, ir jānosaka saskaņā ar Regulas (ES) Nr. 575/2013 291. pantu.</w:t>
            </w:r>
          </w:p>
          <w:p w14:paraId="2CCE970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Gadījumos, kad vienam darījumu partnerim izmanto vairāk nekā vienu </w:t>
            </w:r>
            <w:r>
              <w:rPr>
                <w:sz w:val="24"/>
                <w:i/>
                <w:iCs/>
                <w:rFonts w:ascii="Times New Roman" w:hAnsi="Times New Roman"/>
              </w:rPr>
              <w:t xml:space="preserve">CCR</w:t>
            </w:r>
            <w:r>
              <w:rPr>
                <w:sz w:val="24"/>
                <w:rFonts w:ascii="Times New Roman" w:hAnsi="Times New Roman"/>
              </w:rPr>
              <w:t xml:space="preserve"> pieeju, radušos </w:t>
            </w:r>
            <w:r>
              <w:rPr>
                <w:sz w:val="24"/>
                <w:i/>
                <w:iCs/>
                <w:rFonts w:ascii="Times New Roman" w:hAnsi="Times New Roman"/>
              </w:rPr>
              <w:t xml:space="preserve">CVA</w:t>
            </w:r>
            <w:r>
              <w:rPr>
                <w:sz w:val="24"/>
                <w:rFonts w:ascii="Times New Roman" w:hAnsi="Times New Roman"/>
              </w:rPr>
              <w:t xml:space="preserve"> zaudējumus, ko atskaita darījuma partnera līmenī, iedala dažādo savstarpējā ieskaita kopu riska darījumu vērtībā katrā </w:t>
            </w:r>
            <w:r>
              <w:rPr>
                <w:sz w:val="24"/>
                <w:i/>
                <w:iCs/>
                <w:rFonts w:ascii="Times New Roman" w:hAnsi="Times New Roman"/>
              </w:rPr>
              <w:t xml:space="preserve">CCR</w:t>
            </w:r>
            <w:r>
              <w:rPr>
                <w:sz w:val="24"/>
                <w:rFonts w:ascii="Times New Roman" w:hAnsi="Times New Roman"/>
              </w:rPr>
              <w:t xml:space="preserve"> pieejā, kas atspoguļo attiecīgo savstarpējā ieskaita kopu riska darījumu vērtības pēc riska mazināšanas īpatsvaru attiecībā pret darījuma partnera kopējo riska darījumu vērtību pēc kredītriska mazināšanas.</w:t>
            </w:r>
          </w:p>
          <w:p w14:paraId="0C842EAD" w14:textId="77777777" w:rsidR="00EF74C7" w:rsidRPr="002A677E" w:rsidRDefault="00EF74C7" w:rsidP="00822842">
            <w:r>
              <w:rPr>
                <w:sz w:val="24"/>
                <w:rFonts w:ascii="Times New Roman" w:hAnsi="Times New Roman"/>
              </w:rPr>
              <w:t xml:space="preserve">Iestāde uzrāda visu riska darījumu vērtību summu attiecīgajā rindā.</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t xml:space="preserve">0180.</w:t>
            </w:r>
          </w:p>
        </w:tc>
        <w:tc>
          <w:tcPr>
            <w:tcW w:w="7655" w:type="dxa"/>
          </w:tcPr>
          <w:p w14:paraId="0DF22580"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Pozīcijas, kurām piemērota </w:t>
            </w:r>
            <w:r>
              <w:rPr>
                <w:rStyle w:val="InstructionsTabelleberschrift"/>
                <w:sz w:val="24"/>
                <w:i/>
                <w:iCs/>
                <w:rFonts w:ascii="Times New Roman" w:hAnsi="Times New Roman"/>
              </w:rPr>
              <w:t xml:space="preserve">CR</w:t>
            </w:r>
            <w:r>
              <w:rPr>
                <w:rStyle w:val="InstructionsTabelleberschrift"/>
                <w:sz w:val="24"/>
                <w:rFonts w:ascii="Times New Roman" w:hAnsi="Times New Roman"/>
              </w:rPr>
              <w:t xml:space="preserve"> standartizētā pieeja</w:t>
            </w:r>
          </w:p>
          <w:p w14:paraId="1D95615D"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Riska darījumu vērtība </w:t>
            </w:r>
            <w:r>
              <w:rPr>
                <w:sz w:val="24"/>
                <w:i/>
                <w:iCs/>
                <w:rFonts w:ascii="Times New Roman" w:hAnsi="Times New Roman"/>
              </w:rPr>
              <w:t xml:space="preserve">CCR</w:t>
            </w:r>
            <w:r>
              <w:rPr>
                <w:sz w:val="24"/>
                <w:rFonts w:ascii="Times New Roman" w:hAnsi="Times New Roman"/>
              </w:rPr>
              <w:t xml:space="preserve"> pozīcijām, kurām piemērota standartizētā pieeja attiecībā uz kredītrisku saskaņā ar Regulas (ES) Nr. 575/2013 Trešās daļas II sadaļas 2. nodaļu.</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 xml:space="preserve">0190.</w:t>
            </w:r>
          </w:p>
        </w:tc>
        <w:tc>
          <w:tcPr>
            <w:tcW w:w="7655" w:type="dxa"/>
          </w:tcPr>
          <w:p w14:paraId="2835516A"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Pozīcijas, kurām piemērota </w:t>
            </w:r>
            <w:r>
              <w:rPr>
                <w:rStyle w:val="InstructionsTabelleberschrift"/>
                <w:sz w:val="24"/>
                <w:i/>
                <w:iCs/>
                <w:rFonts w:ascii="Times New Roman" w:hAnsi="Times New Roman"/>
              </w:rPr>
              <w:t xml:space="preserve">CR</w:t>
            </w:r>
            <w:r>
              <w:rPr>
                <w:rStyle w:val="InstructionsTabelleberschrift"/>
                <w:sz w:val="24"/>
                <w:rFonts w:ascii="Times New Roman" w:hAnsi="Times New Roman"/>
              </w:rPr>
              <w:t xml:space="preserve"> IRB pieeja</w:t>
            </w:r>
          </w:p>
          <w:p w14:paraId="208129A6" w14:textId="77777777" w:rsidR="00EF74C7" w:rsidRPr="002A677E" w:rsidRDefault="00EF74C7" w:rsidP="00822842">
            <w:pPr>
              <w:rPr>
                <w:sz w:val="24"/>
                <w:rFonts w:ascii="Times New Roman" w:hAnsi="Times New Roman"/>
              </w:rPr>
            </w:pPr>
            <w:r>
              <w:rPr>
                <w:sz w:val="24"/>
                <w:rFonts w:ascii="Times New Roman" w:hAnsi="Times New Roman"/>
              </w:rPr>
              <w:t xml:space="preserve">Riska darījumu vērtība </w:t>
            </w:r>
            <w:r>
              <w:rPr>
                <w:sz w:val="24"/>
                <w:i/>
                <w:iCs/>
                <w:rFonts w:ascii="Times New Roman" w:hAnsi="Times New Roman"/>
              </w:rPr>
              <w:t xml:space="preserve">CCR</w:t>
            </w:r>
            <w:r>
              <w:rPr>
                <w:sz w:val="24"/>
                <w:rFonts w:ascii="Times New Roman" w:hAnsi="Times New Roman"/>
              </w:rPr>
              <w:t xml:space="preserve"> pozīcijām, kurām piemērota IRB pieeja attiecībā uz kredītrisku saskaņā ar Regulas (ES) Nr. 575/2013 Trešās daļas II sadaļas 3. nodaļu.</w:t>
            </w:r>
            <w:r>
              <w:rPr>
                <w:sz w:val="24"/>
                <w:rFonts w:ascii="Times New Roman" w:hAnsi="Times New Roman"/>
              </w:rPr>
              <w:t xml:space="preserve">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 xml:space="preserve">0200.</w:t>
            </w:r>
          </w:p>
        </w:tc>
        <w:tc>
          <w:tcPr>
            <w:tcW w:w="7655" w:type="dxa"/>
          </w:tcPr>
          <w:p w14:paraId="2E8CD327"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RISKA DARĪJUMU RISKA SVĒRTĀS VĒRTĪBAS</w:t>
            </w:r>
          </w:p>
          <w:p w14:paraId="6B8D3CD5" w14:textId="6159F38D" w:rsidR="00EF74C7" w:rsidRPr="002A677E" w:rsidRDefault="00EF74C7" w:rsidP="00822842">
            <w:pPr>
              <w:pStyle w:val="TableMainHeading"/>
              <w:spacing w:before="60"/>
              <w:jc w:val="both"/>
              <w:rPr>
                <w:sz w:val="24"/>
                <w:szCs w:val="24"/>
                <w:rFonts w:ascii="Times New Roman" w:hAnsi="Times New Roman"/>
              </w:rPr>
            </w:pPr>
            <w:r>
              <w:rPr>
                <w:sz w:val="24"/>
                <w:i/>
                <w:iCs/>
                <w:rFonts w:ascii="Times New Roman" w:hAnsi="Times New Roman"/>
              </w:rPr>
              <w:t xml:space="preserve">CCR</w:t>
            </w:r>
            <w:r>
              <w:rPr>
                <w:sz w:val="24"/>
                <w:rFonts w:ascii="Times New Roman" w:hAnsi="Times New Roman"/>
              </w:rPr>
              <w:t xml:space="preserve"> riska darījumu riska svērtās vērtības, kā definēts Regulas (ES) Nr. 575/2013 92. panta 3. punktā, kas aprēķinātas saskaņā ar Trešās daļas II sadaļas 2. un 3. nodaļā noteiktajām metodēm.</w:t>
            </w:r>
          </w:p>
          <w:p w14:paraId="2463A407" w14:textId="77777777" w:rsidR="00EF74C7" w:rsidRPr="002A677E" w:rsidRDefault="00EF74C7" w:rsidP="00822842">
            <w:pPr>
              <w:rPr>
                <w:sz w:val="24"/>
                <w:rFonts w:ascii="Times New Roman" w:hAnsi="Times New Roman"/>
              </w:rPr>
            </w:pPr>
            <w:r>
              <w:rPr>
                <w:sz w:val="24"/>
                <w:rFonts w:ascii="Times New Roman" w:hAnsi="Times New Roman"/>
              </w:rPr>
              <w:t xml:space="preserve">Ņem vērā MVU un infrastruktūras atbalsta faktorus, kas minēti Regulas (ES) Nr. 575/2013 501. pantā un 501.a pantā.</w:t>
            </w:r>
            <w:r>
              <w:rPr>
                <w:sz w:val="24"/>
                <w:rFonts w:ascii="Times New Roman" w:hAnsi="Times New Roman"/>
              </w:rPr>
              <w:t xml:space="preserve">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 xml:space="preserve">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Pozīcijas, kurām piemērota </w:t>
            </w:r>
            <w:r>
              <w:rPr>
                <w:rStyle w:val="InstructionsTabelleberschrift"/>
                <w:sz w:val="24"/>
                <w:i/>
                <w:iCs/>
                <w:rFonts w:ascii="Times New Roman" w:hAnsi="Times New Roman"/>
              </w:rPr>
              <w:t xml:space="preserve">CR</w:t>
            </w:r>
            <w:r>
              <w:rPr>
                <w:rStyle w:val="InstructionsTabelleberschrift"/>
                <w:sz w:val="24"/>
                <w:rFonts w:ascii="Times New Roman" w:hAnsi="Times New Roman"/>
              </w:rPr>
              <w:t xml:space="preserve"> standartizētā pieeja</w:t>
            </w:r>
          </w:p>
          <w:p w14:paraId="6E572F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Riska darījumu riska svērtās vērtības attiecībā uz </w:t>
            </w:r>
            <w:r>
              <w:rPr>
                <w:sz w:val="24"/>
                <w:i/>
                <w:iCs/>
                <w:rFonts w:ascii="Times New Roman" w:hAnsi="Times New Roman"/>
              </w:rPr>
              <w:t xml:space="preserve">CCR</w:t>
            </w:r>
            <w:r>
              <w:rPr>
                <w:sz w:val="24"/>
                <w:rFonts w:ascii="Times New Roman" w:hAnsi="Times New Roman"/>
              </w:rPr>
              <w:t xml:space="preserve"> riska darījumiem, kuriem piemērota standartizētā pieeja attiecībā uz kredītrisku saskaņā ar Regulas (ES) Nr. 575/2013 Trešās daļas II sadaļas 2. nodaļu.</w:t>
            </w:r>
            <w:r>
              <w:rPr>
                <w:sz w:val="24"/>
                <w:rFonts w:ascii="Times New Roman" w:hAnsi="Times New Roman"/>
              </w:rPr>
              <w:t xml:space="preserve"> </w:t>
            </w:r>
          </w:p>
          <w:p w14:paraId="21C6ADFA" w14:textId="77777777" w:rsidR="00EF74C7" w:rsidRPr="002A677E" w:rsidRDefault="00EF74C7" w:rsidP="00822842">
            <w:pPr>
              <w:rPr>
                <w:sz w:val="24"/>
                <w:rFonts w:ascii="Times New Roman" w:hAnsi="Times New Roman"/>
              </w:rPr>
            </w:pPr>
            <w:r>
              <w:rPr>
                <w:sz w:val="24"/>
                <w:rFonts w:ascii="Times New Roman" w:hAnsi="Times New Roman"/>
              </w:rPr>
              <w:t xml:space="preserve">Šī summa atbilst tai summai, ko ietver C 07.00 veidnes 0220. slejā attiecībā uz </w:t>
            </w:r>
            <w:r>
              <w:rPr>
                <w:sz w:val="24"/>
                <w:i/>
                <w:iCs/>
                <w:rFonts w:ascii="Times New Roman" w:hAnsi="Times New Roman"/>
              </w:rPr>
              <w:t xml:space="preserve">CCR</w:t>
            </w:r>
            <w:r>
              <w:rPr>
                <w:sz w:val="24"/>
                <w:rFonts w:ascii="Times New Roman" w:hAnsi="Times New Roman"/>
              </w:rPr>
              <w:t xml:space="preserve"> pozīcijām.</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 xml:space="preserve">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Pozīcijas, kurām piemērota </w:t>
            </w:r>
            <w:r>
              <w:rPr>
                <w:rStyle w:val="InstructionsTabelleberschrift"/>
                <w:sz w:val="24"/>
                <w:i/>
                <w:iCs/>
                <w:rFonts w:ascii="Times New Roman" w:hAnsi="Times New Roman"/>
              </w:rPr>
              <w:t xml:space="preserve">CR</w:t>
            </w:r>
            <w:r>
              <w:rPr>
                <w:rStyle w:val="InstructionsTabelleberschrift"/>
                <w:sz w:val="24"/>
                <w:rFonts w:ascii="Times New Roman" w:hAnsi="Times New Roman"/>
              </w:rPr>
              <w:t xml:space="preserve"> IRB pieeja</w:t>
            </w:r>
          </w:p>
          <w:p w14:paraId="51FF06D9"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Riska darījumu riska svērtās vērtības attiecībā uz </w:t>
            </w:r>
            <w:r>
              <w:rPr>
                <w:sz w:val="24"/>
                <w:i/>
                <w:iCs/>
                <w:rFonts w:ascii="Times New Roman" w:hAnsi="Times New Roman"/>
              </w:rPr>
              <w:t xml:space="preserve">CCR</w:t>
            </w:r>
            <w:r>
              <w:rPr>
                <w:sz w:val="24"/>
                <w:rFonts w:ascii="Times New Roman" w:hAnsi="Times New Roman"/>
              </w:rPr>
              <w:t xml:space="preserve"> riska darījumiem, kuriem piemērota IRB pieeja attiecībā uz kredītrisku saskaņā ar Regulas (ES) Nr. 575/2013 Trešās daļas II sadaļas 3. nodaļu.</w:t>
            </w:r>
          </w:p>
          <w:p w14:paraId="3FB6A074" w14:textId="77777777" w:rsidR="00EF74C7" w:rsidRPr="002A677E" w:rsidRDefault="00EF74C7" w:rsidP="00822842">
            <w:pPr>
              <w:rPr>
                <w:sz w:val="24"/>
                <w:rFonts w:ascii="Times New Roman" w:hAnsi="Times New Roman"/>
              </w:rPr>
            </w:pPr>
            <w:r>
              <w:rPr>
                <w:sz w:val="24"/>
                <w:rFonts w:ascii="Times New Roman" w:hAnsi="Times New Roman"/>
              </w:rPr>
              <w:t xml:space="preserve">Šī summa atbilst tai summai, ko ietver C 08.01 veidnes 0260. slejā attiecībā uz </w:t>
            </w:r>
            <w:r>
              <w:rPr>
                <w:sz w:val="24"/>
                <w:i/>
                <w:iCs/>
                <w:rFonts w:ascii="Times New Roman" w:hAnsi="Times New Roman"/>
              </w:rPr>
              <w:t xml:space="preserve">CCR</w:t>
            </w:r>
            <w:r>
              <w:rPr>
                <w:sz w:val="24"/>
                <w:rFonts w:ascii="Times New Roman" w:hAnsi="Times New Roman"/>
              </w:rPr>
              <w:t xml:space="preserve"> pozīcijām.</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 xml:space="preserve">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PAŠU KAPITĀLA MINIMĀLĀ ROBEŽVĒRTĪBA</w:t>
            </w:r>
          </w:p>
          <w:p w14:paraId="78547488" w14:textId="2021F309"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Iestādēm, kurām piemēro pašu kapitāla minimālo robežvērtību, kā minēts Regulas (ES) Nr. 575/2013 92. panta 3. punktā.</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 xml:space="preserve">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sz w:val="24"/>
                <w:rFonts w:ascii="Times New Roman" w:eastAsiaTheme="minorEastAsia" w:hAnsi="Times New Roman"/>
              </w:rPr>
            </w:pPr>
            <w:r>
              <w:rPr>
                <w:rStyle w:val="InstructionsTabelleberschrift"/>
                <w:sz w:val="24"/>
                <w:rFonts w:ascii="Times New Roman" w:hAnsi="Times New Roman"/>
              </w:rPr>
              <w:t xml:space="preserve">RISKA DARĪJUMA VĒRTĪBA </w:t>
            </w:r>
            <w:r>
              <w:rPr>
                <w:rStyle w:val="InstructionsTabelleberschrift"/>
                <w:sz w:val="24"/>
                <w:i/>
                <w:iCs/>
                <w:rFonts w:ascii="Times New Roman" w:hAnsi="Times New Roman"/>
              </w:rPr>
              <w:t xml:space="preserve">S-TREA</w:t>
            </w:r>
            <w:r>
              <w:rPr>
                <w:rStyle w:val="InstructionsTabelleberschrift"/>
                <w:sz w:val="24"/>
                <w:rFonts w:ascii="Times New Roman" w:hAnsi="Times New Roman"/>
              </w:rPr>
              <w:t xml:space="preserve"> APRĒĶINĀŠANAI</w:t>
            </w:r>
          </w:p>
          <w:p w14:paraId="076EA294" w14:textId="45BB26AF"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u w:val="single"/>
                <w:b/>
                <w:bCs/>
                <w:rFonts w:ascii="Times New Roman" w:hAnsi="Times New Roman"/>
              </w:rPr>
              <w:t xml:space="preserve">Riska darījumu vērtība</w:t>
            </w:r>
            <w:r>
              <w:rPr>
                <w:sz w:val="24"/>
                <w:rFonts w:ascii="Times New Roman" w:hAnsi="Times New Roman"/>
              </w:rPr>
              <w:t xml:space="preserve"> </w:t>
            </w:r>
            <w:r>
              <w:rPr>
                <w:sz w:val="24"/>
                <w:i/>
                <w:iCs/>
                <w:rFonts w:ascii="Times New Roman" w:hAnsi="Times New Roman"/>
              </w:rPr>
              <w:t xml:space="preserve">CCR </w:t>
            </w:r>
            <w:r>
              <w:rPr>
                <w:sz w:val="24"/>
                <w:i/>
                <w:iCs/>
                <w:i w:val="false"/>
                <w:iCs w:val="false"/>
                <w:rFonts w:ascii="Times New Roman" w:hAnsi="Times New Roman"/>
              </w:rPr>
              <w:t xml:space="preserve">riska darījumiem</w:t>
            </w:r>
            <w:r>
              <w:rPr>
                <w:sz w:val="24"/>
                <w:rFonts w:ascii="Times New Roman" w:hAnsi="Times New Roman"/>
              </w:rPr>
              <w:t xml:space="preserve">, kas iekļauti standartizētās kopējās riska darījumu vērtības (</w:t>
            </w:r>
            <w:r>
              <w:rPr>
                <w:sz w:val="24"/>
                <w:i/>
                <w:iCs/>
                <w:rFonts w:ascii="Times New Roman" w:hAnsi="Times New Roman"/>
              </w:rPr>
              <w:t xml:space="preserve">S-TREA</w:t>
            </w:r>
            <w:r>
              <w:rPr>
                <w:sz w:val="24"/>
                <w:rFonts w:ascii="Times New Roman" w:hAnsi="Times New Roman"/>
              </w:rPr>
              <w:t xml:space="preserve">) aprēķinā, kuru aprēķina saskaņā ar Regulas (ES) Nr. 575/2013 92. panta 5. punktu.</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 xml:space="preserve">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i/>
                <w:iCs/>
                <w:rFonts w:ascii="Times New Roman" w:hAnsi="Times New Roman"/>
              </w:rPr>
              <w:t xml:space="preserve">S-TREA</w:t>
            </w:r>
          </w:p>
          <w:p w14:paraId="3E780FC2" w14:textId="37C7D34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i/>
                <w:iCs/>
                <w:rFonts w:ascii="Times New Roman" w:hAnsi="Times New Roman"/>
              </w:rPr>
              <w:t xml:space="preserve">CCR</w:t>
            </w:r>
            <w:r>
              <w:rPr>
                <w:sz w:val="24"/>
                <w:rFonts w:ascii="Times New Roman" w:hAnsi="Times New Roman"/>
              </w:rPr>
              <w:t xml:space="preserve"> riska darījumu standartizētā kopējā riska darījumu vērtība (</w:t>
            </w:r>
            <w:r>
              <w:rPr>
                <w:sz w:val="24"/>
                <w:i/>
                <w:iCs/>
                <w:rFonts w:ascii="Times New Roman" w:hAnsi="Times New Roman"/>
              </w:rPr>
              <w:t xml:space="preserve">S-TREA</w:t>
            </w:r>
            <w:r>
              <w:rPr>
                <w:sz w:val="24"/>
                <w:rFonts w:ascii="Times New Roman" w:hAnsi="Times New Roman"/>
              </w:rPr>
              <w:t xml:space="preserve">), ko aprēķina saskaņā ar Regulas (ES) Nr. 575/2013 92. panta 5. punktu.</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 xml:space="preserve">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IZZIŅAS POSTEŅI:</w:t>
            </w:r>
            <w:r>
              <w:rPr>
                <w:rStyle w:val="InstructionsTabelleberschrift"/>
                <w:sz w:val="24"/>
                <w:rFonts w:ascii="Times New Roman" w:hAnsi="Times New Roman"/>
              </w:rPr>
              <w:t xml:space="preserve"> </w:t>
            </w:r>
            <w:r>
              <w:rPr>
                <w:rStyle w:val="InstructionsTabelleberschrift"/>
                <w:sz w:val="24"/>
                <w:i/>
                <w:iCs/>
                <w:rFonts w:ascii="Times New Roman" w:hAnsi="Times New Roman"/>
              </w:rPr>
              <w:t xml:space="preserve">RWEA</w:t>
            </w:r>
            <w:r>
              <w:rPr>
                <w:rStyle w:val="InstructionsTabelleberschrift"/>
                <w:sz w:val="24"/>
                <w:rFonts w:ascii="Times New Roman" w:hAnsi="Times New Roman"/>
              </w:rPr>
              <w:t xml:space="preserve"> SAISTĪBĀ AR IETEKMI, KO RADA REGULAS NR. 575/2013 465. PANTA 4. PUNKTA PIEMĒROŠANA</w:t>
            </w:r>
          </w:p>
          <w:p w14:paraId="5E592907" w14:textId="4561576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Regulas (ES) Nr. 575/2013 465. panta 4. punkts</w:t>
            </w:r>
            <w:r>
              <w:rPr>
                <w:sz w:val="24"/>
                <w:rFonts w:ascii="Times New Roman" w:hAnsi="Times New Roman"/>
              </w:rPr>
              <w:t xml:space="preserve"> </w:t>
            </w:r>
            <w:r>
              <w:rPr>
                <w:sz w:val="24"/>
                <w:rFonts w:ascii="Times New Roman" w:hAnsi="Times New Roman"/>
              </w:rPr>
              <w:t xml:space="preserve">Uzrāda starpību starp </w:t>
            </w:r>
            <w:r>
              <w:rPr>
                <w:sz w:val="24"/>
                <w:i/>
                <w:iCs/>
                <w:rFonts w:ascii="Times New Roman" w:hAnsi="Times New Roman"/>
              </w:rPr>
              <w:t xml:space="preserve">RWEA</w:t>
            </w:r>
            <w:r>
              <w:rPr>
                <w:sz w:val="24"/>
                <w:rFonts w:ascii="Times New Roman" w:hAnsi="Times New Roman"/>
              </w:rPr>
              <w:t xml:space="preserve"> summu, nepiemērojot pārejas noteikumus, un</w:t>
            </w:r>
            <w:r>
              <w:rPr>
                <w:sz w:val="24"/>
                <w:i/>
                <w:iCs/>
                <w:rFonts w:ascii="Times New Roman" w:hAnsi="Times New Roman"/>
              </w:rPr>
              <w:t xml:space="preserve"> RWEA</w:t>
            </w:r>
            <w:r>
              <w:rPr>
                <w:sz w:val="24"/>
                <w:rFonts w:ascii="Times New Roman" w:hAnsi="Times New Roman"/>
              </w:rPr>
              <w:t xml:space="preserve"> summu, piemērojot pārejas noteikumus.</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Rinda</w:t>
            </w:r>
            <w:r>
              <w:rPr>
                <w:b/>
                <w:sz w:val="24"/>
                <w:rFonts w:ascii="Times New Roman" w:hAnsi="Times New Roman"/>
              </w:rPr>
              <w:t xml:space="preserve">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 xml:space="preserve">0010.</w:t>
            </w:r>
          </w:p>
        </w:tc>
        <w:tc>
          <w:tcPr>
            <w:tcW w:w="7655" w:type="dxa"/>
          </w:tcPr>
          <w:p w14:paraId="596F329B"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SĀKOTNĒJĀS RISKA DARĪJUMU VĒRTĪBAS METODE (ATVASINĀTAJIEM INSTRUMENTIEM)</w:t>
            </w:r>
            <w:r>
              <w:rPr>
                <w:rStyle w:val="InstructionsTabelleberschrift"/>
                <w:sz w:val="24"/>
                <w:rFonts w:ascii="Times New Roman" w:hAnsi="Times New Roman"/>
              </w:rPr>
              <w:t xml:space="preserve"> </w:t>
            </w:r>
          </w:p>
          <w:p w14:paraId="19F53DE3" w14:textId="77777777" w:rsidR="00EF74C7" w:rsidRPr="002A677E" w:rsidRDefault="00EF74C7" w:rsidP="00822842">
            <w:pPr>
              <w:pStyle w:val="TableMainHeading"/>
              <w:spacing w:before="60"/>
              <w:rPr>
                <w:i/>
                <w:sz w:val="24"/>
                <w:szCs w:val="24"/>
                <w:rFonts w:ascii="Times New Roman" w:hAnsi="Times New Roman"/>
              </w:rPr>
            </w:pPr>
            <w:r>
              <w:rPr>
                <w:sz w:val="24"/>
                <w:rFonts w:ascii="Times New Roman" w:hAnsi="Times New Roman"/>
              </w:rPr>
              <w:t xml:space="preserve">Atvasinātie instrumenti un ilgstošo norēķinu darījumi, kuriem iestāde aprēķina riska darījuma vērtību saskaņā ar Regulas (ES) Nr. 575/2013 Trešās daļas II sadaļas 6. nodaļas 5. iedaļu.</w:t>
            </w:r>
            <w:r>
              <w:rPr>
                <w:sz w:val="24"/>
                <w:rFonts w:ascii="Times New Roman" w:hAnsi="Times New Roman"/>
              </w:rPr>
              <w:t xml:space="preserve"> </w:t>
            </w:r>
            <w:r>
              <w:rPr>
                <w:sz w:val="24"/>
                <w:rFonts w:ascii="Times New Roman" w:hAnsi="Times New Roman"/>
              </w:rPr>
              <w:t xml:space="preserve">Šo vienkāršoto metodi riska darījuma vērtības aprēķināšanai var izmantot tikai tās iestādes, kuras ir panākušas atbilstību Regulas (ES) Nr. 575/2013 273.a panta 2. punktam vai 273.a panta 4. punktam.</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VIENKĀRŠOTA STANDARTIZĒTĀ PIEEJA </w:t>
            </w:r>
            <w:r>
              <w:rPr>
                <w:rStyle w:val="InstructionsTabelleberschrift"/>
                <w:sz w:val="24"/>
                <w:i/>
                <w:iCs/>
                <w:rFonts w:ascii="Times New Roman" w:hAnsi="Times New Roman"/>
              </w:rPr>
              <w:t xml:space="preserve">CCR</w:t>
            </w:r>
            <w:r>
              <w:rPr>
                <w:rStyle w:val="InstructionsTabelleberschrift"/>
                <w:sz w:val="24"/>
                <w:rFonts w:ascii="Times New Roman" w:hAnsi="Times New Roman"/>
              </w:rPr>
              <w:t xml:space="preserve"> (VIENKĀRŠOTA </w:t>
            </w:r>
            <w:r>
              <w:rPr>
                <w:rStyle w:val="InstructionsTabelleberschrift"/>
                <w:sz w:val="24"/>
                <w:i/>
                <w:iCs/>
                <w:rFonts w:ascii="Times New Roman" w:hAnsi="Times New Roman"/>
              </w:rPr>
              <w:t xml:space="preserve">SA-CCR</w:t>
            </w:r>
            <w:r>
              <w:rPr>
                <w:rStyle w:val="InstructionsTabelleberschrift"/>
                <w:sz w:val="24"/>
                <w:rFonts w:ascii="Times New Roman" w:hAnsi="Times New Roman"/>
              </w:rPr>
              <w:t xml:space="preserve"> ATVASINĀTAJIEM INSTRUMENTIEM)</w:t>
            </w:r>
          </w:p>
          <w:p w14:paraId="0C771BB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Atvasinātie instrumenti un ilgstošo norēķinu darījumi, kuriem iestāde aprēķina riska darījuma vērtību saskaņā ar Regulas (ES) Nr. 575/2013 Trešās daļas II sadaļas 6. nodaļas 4. iedaļu.</w:t>
            </w:r>
            <w:r>
              <w:rPr>
                <w:sz w:val="24"/>
                <w:rFonts w:ascii="Times New Roman" w:hAnsi="Times New Roman"/>
              </w:rPr>
              <w:t xml:space="preserve"> </w:t>
            </w:r>
            <w:r>
              <w:rPr>
                <w:sz w:val="24"/>
                <w:rFonts w:ascii="Times New Roman" w:hAnsi="Times New Roman"/>
              </w:rPr>
              <w:t xml:space="preserve">Šo vienkāršoto standartizēto pieeju riska darījuma vērtības aprēķināšanai var izmantot tikai tās iestādes, kuras ir panākušas atbilstību Regulas (ES) Nr. 575/2013 273.a panta 1. punktam vai 273.a panta 4. punktam.</w:t>
            </w:r>
            <w:r>
              <w:rPr>
                <w:sz w:val="24"/>
                <w:rFonts w:ascii="Times New Roman" w:hAnsi="Times New Roman"/>
              </w:rPr>
              <w:t xml:space="preserve">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STANDARTIZĒTĀ PIEEJA</w:t>
            </w:r>
            <w:r>
              <w:rPr>
                <w:rStyle w:val="InstructionsTabelleberschrift"/>
                <w:sz w:val="24"/>
                <w:i/>
                <w:iCs/>
                <w:rFonts w:ascii="Times New Roman" w:hAnsi="Times New Roman"/>
              </w:rPr>
              <w:t xml:space="preserve"> CCR</w:t>
            </w:r>
            <w:r>
              <w:rPr>
                <w:rStyle w:val="InstructionsTabelleberschrift"/>
                <w:sz w:val="24"/>
                <w:rFonts w:ascii="Times New Roman" w:hAnsi="Times New Roman"/>
              </w:rPr>
              <w:t xml:space="preserve"> (</w:t>
            </w:r>
            <w:r>
              <w:rPr>
                <w:rStyle w:val="InstructionsTabelleberschrift"/>
                <w:sz w:val="24"/>
                <w:i/>
                <w:iCs/>
                <w:rFonts w:ascii="Times New Roman" w:hAnsi="Times New Roman"/>
              </w:rPr>
              <w:t xml:space="preserve">SA-CCR</w:t>
            </w:r>
            <w:r>
              <w:rPr>
                <w:rStyle w:val="InstructionsTabelleberschrift"/>
                <w:sz w:val="24"/>
                <w:rFonts w:ascii="Times New Roman" w:hAnsi="Times New Roman"/>
              </w:rPr>
              <w:t xml:space="preserve"> ATVASINĀTAJIEM INSTRUMENTIEM)</w:t>
            </w:r>
          </w:p>
          <w:p w14:paraId="771ED2E1"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Atvasinātie instrumenti un ilgstošo norēķinu darījumi, kuriem iestāde aprēķina riska darījuma vērtību saskaņā ar Regulas (ES) Nr. 575/2013 Trešās daļas II sadaļas 6. nodaļas 3. iedaļu.</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IMM (ATVASINĀTAJIEM INSTRUMENTIEM UN VFD)</w:t>
            </w:r>
          </w:p>
          <w:p w14:paraId="19499FEB"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Atvasinātie instrumenti un ilgstošo norēķinu darījumi, un VFD, attiecībā uz kuriem iestādei ir atļauts aprēķināt riska darījuma vērtību, izmantojot iekšējā modeļa metodi (IMM), saskaņā ar Regulas (ES) Nr. 575/2013 Trešās daļas II sadaļas 6. nodaļas 6. iedaļu.</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Vērtspapīru finansēšanas darījumu savstarpējo prasījumu ieskaita kopas</w:t>
            </w:r>
          </w:p>
          <w:p w14:paraId="08069DA3"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Savstarpējo prasījumu ieskaita kopas, kas ietver tikai vērtspapīru finansēšanas darījumus, kā definēts Regulas (ES) Nr. 575/2013 4. panta 139) punktā, attiecībā uz kurām iestādēm ir atļauts noteikt riska darījuma vērtību, izmantojot IMM.</w:t>
            </w:r>
          </w:p>
          <w:p w14:paraId="00DA27AC"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Šajā rindā neuzrāda vērtspapīru finansēšanas darījumus, kas ietverti dažādu produktu savstarpējo prasījumu līgumiskajā ieskaita kopā un tāpēc uzrādīti 0070. rindā.</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Atvasināto instrumentu un ilgstošo norēķinu darījumu savstarpējo prasījumu ieskaita kopas</w:t>
            </w:r>
          </w:p>
          <w:p w14:paraId="0E97A475"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Savstarpējo prasījumu ieskaita kopas, kas ietver tikai Regulas (ES) Nr. 575/2013 II pielikumā uzskaitītos atvasinātos instrumentus un ilgstošo norēķinu darījumus, kā definēts Regulas (ES) Nr. 575/2013 272. panta 2) punktā, attiecībā uz kurām iestādēm ir atļauts noteikt riska darījuma vērtību, izmantojot IMM.</w:t>
            </w:r>
          </w:p>
          <w:p w14:paraId="6A8CD02A"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Šajā rindā neuzrāda atvasinātos instrumentus un ilgstošo norēķinu darījumus, kas ietverti dažādu produktu savstarpējo prasījumu līgumiskajā ieskaita kopā un tāpēc uzrādīti 0070. rindā.</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No dažādu produktu savstarpējo prasījumu līgumiskā ieskaita kopām</w:t>
            </w:r>
          </w:p>
          <w:p w14:paraId="118D66FD" w14:textId="77777777" w:rsidR="00EF74C7" w:rsidRPr="002A677E" w:rsidRDefault="00EF74C7" w:rsidP="00822842">
            <w:pPr>
              <w:rPr>
                <w:sz w:val="24"/>
                <w:rFonts w:ascii="Times New Roman" w:hAnsi="Times New Roman"/>
              </w:rPr>
            </w:pPr>
            <w:r>
              <w:rPr>
                <w:sz w:val="24"/>
                <w:rFonts w:ascii="Times New Roman" w:hAnsi="Times New Roman"/>
              </w:rPr>
              <w:t xml:space="preserve">Regulas (ES) Nr. 575/2013 272. panta 11. un 25. punkts.</w:t>
            </w:r>
          </w:p>
          <w:p w14:paraId="78B4A3B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Savstarpējo prasījumu ieskaita kopas, kas ietver darījumus ar dažādu produktu kategorijām (Regulas (ES) Nr. 575/2013 272. panta 11. punkts), t. i., atvasinātie instrumenti un VFD, uz kuriem attiecas savstarpējo prasījumu līgumiskā ieskaita līgums, kā definēts Regulas (ES) Nr. 575/2013 272. panta 25. punktā, un attiecībā uz kurām iestādēm ir atļauts noteikt riska darījuma vērtību, izmantojot IMM.</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FINANŠU NODROŠINĀJUMA VIENKĀRŠĀ METODE (VFD)</w:t>
            </w:r>
            <w:r>
              <w:rPr>
                <w:rStyle w:val="InstructionsTabelleberschrift"/>
                <w:sz w:val="24"/>
                <w:rFonts w:ascii="Times New Roman" w:hAnsi="Times New Roman"/>
              </w:rPr>
              <w:t xml:space="preserve"> </w:t>
            </w:r>
          </w:p>
          <w:p w14:paraId="1E933FE3" w14:textId="77777777" w:rsidR="00EF74C7" w:rsidRPr="002A677E" w:rsidRDefault="00EF74C7" w:rsidP="00822842">
            <w:pPr>
              <w:rPr>
                <w:sz w:val="24"/>
                <w:rFonts w:ascii="Times New Roman" w:hAnsi="Times New Roman"/>
              </w:rPr>
            </w:pPr>
            <w:r>
              <w:rPr>
                <w:sz w:val="24"/>
                <w:rFonts w:ascii="Times New Roman" w:hAnsi="Times New Roman"/>
              </w:rPr>
              <w:t xml:space="preserve">Regulas (ES) Nr. 575/2013 222. pants</w:t>
            </w:r>
          </w:p>
          <w:p w14:paraId="1206AB4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Repo darījumi, vērtspapīru vai preču aizdevuma vai aizņēmuma darījumi, ilgstošo norēķinu darījumi un maržinālo aizdevumu darījumi, kuriem iestāde ir izvēlējusies noteikt riska darījumu vērtību saskaņā ar Regulas (ES) Nr. 575/2013 222. pantu, nevis kā noteikts minētās regulas Trešās daļas II sadaļas 6. nodaļā saskaņā ar tās pašas regulas 271. panta 2. punktu.</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FINANŠU NODROŠINĀJUMS: PAPLAŠINĀTĀ METODE (VFD)</w:t>
            </w:r>
          </w:p>
          <w:p w14:paraId="13A72AE5" w14:textId="77777777" w:rsidR="00EF74C7" w:rsidRPr="002A677E" w:rsidRDefault="00EF74C7" w:rsidP="00822842">
            <w:pPr>
              <w:rPr>
                <w:sz w:val="24"/>
                <w:rFonts w:ascii="Times New Roman" w:hAnsi="Times New Roman"/>
              </w:rPr>
            </w:pPr>
            <w:r>
              <w:rPr>
                <w:sz w:val="24"/>
                <w:rFonts w:ascii="Times New Roman" w:hAnsi="Times New Roman"/>
              </w:rPr>
              <w:t xml:space="preserve">Regulas (ES) Nr. 575/2013 220. un 223. pants.</w:t>
            </w:r>
          </w:p>
          <w:p w14:paraId="0F255BBA"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Repo darījumi, vērtspapīru vai preču aizdevuma vai aizņēmuma darījumi, ilgstošo norēķinu darījumi un maržinālo aizdevumu darījumi, kuriem iestāde ir izvēlējusies noteikt riska darījumu vērtību saskaņā ar Regulas (ES) Nr. 575/2013 223. pantu, nevis kā noteikts minētās regulas Trešās daļas II sadaļas 6. nodaļā saskaņā ar tās pašas regulas 271. panta 2. punktu.</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 xml:space="preserve">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i/>
                <w:iCs/>
                <w:rFonts w:ascii="Times New Roman" w:hAnsi="Times New Roman"/>
              </w:rPr>
              <w:t xml:space="preserve">VaR</w:t>
            </w:r>
            <w:r>
              <w:rPr>
                <w:rStyle w:val="InstructionsTabelleberschrift"/>
                <w:sz w:val="24"/>
                <w:rFonts w:ascii="Times New Roman" w:hAnsi="Times New Roman"/>
              </w:rPr>
              <w:t xml:space="preserve"> VFD</w:t>
            </w:r>
          </w:p>
          <w:p w14:paraId="769E33FD" w14:textId="77777777" w:rsidR="00EF74C7" w:rsidRPr="002A677E" w:rsidRDefault="00EF74C7" w:rsidP="00822842">
            <w:pPr>
              <w:rPr>
                <w:sz w:val="24"/>
                <w:rFonts w:ascii="Times New Roman" w:hAnsi="Times New Roman"/>
              </w:rPr>
            </w:pPr>
            <w:r>
              <w:rPr>
                <w:sz w:val="24"/>
                <w:rFonts w:ascii="Times New Roman" w:hAnsi="Times New Roman"/>
              </w:rPr>
              <w:t xml:space="preserve">Regulas (ES) Nr. 575/2013 221. pants</w:t>
            </w:r>
          </w:p>
          <w:p w14:paraId="2E3D6606"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Repo darījumi, vērtspapīru vai preču aizdevuma vai aizņēmuma darījumi un maržinālo aizdevumu darījumi, vai citi kapitāla tirgus darījumi, kas nav atvasināto instrumentu darījumi, attiecībā uz kuriem saskaņā ar Regulas (ES) Nr. 575/2013 221. pantu un ar kompetentās iestādes atļauju riska darījumu vērtību aprēķina, izmantojot iekšējā modeļa pieeju, kurā ņemta vērā korelācijas ietekme starp vērtspapīru pozīcijām, uz kurām attiecas savstarpējo prasījumu ieskaita jumta līgums, kā arī attiecīgo instrumentu likviditāte.</w:t>
            </w:r>
            <w:r>
              <w:rPr>
                <w:sz w:val="24"/>
                <w:rFonts w:ascii="Times New Roman" w:hAnsi="Times New Roman"/>
              </w:rPr>
              <w:t xml:space="preserve">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 xml:space="preserve">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KOPĀ</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 xml:space="preserve">0120.</w:t>
            </w:r>
          </w:p>
        </w:tc>
        <w:tc>
          <w:tcPr>
            <w:tcW w:w="7655" w:type="dxa"/>
          </w:tcPr>
          <w:p w14:paraId="64672F5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i/>
                <w:iCs/>
                <w:rFonts w:ascii="Times New Roman" w:hAnsi="Times New Roman"/>
              </w:rPr>
              <w:t xml:space="preserve">SWWR</w:t>
            </w:r>
            <w:r>
              <w:rPr>
                <w:rStyle w:val="InstructionsTabelleberschrift"/>
                <w:sz w:val="24"/>
                <w:rFonts w:ascii="Times New Roman" w:hAnsi="Times New Roman"/>
              </w:rPr>
              <w:t xml:space="preserve"> pozīcijas</w:t>
            </w:r>
          </w:p>
          <w:p w14:paraId="658F3281"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Fonts w:ascii="Times New Roman" w:hAnsi="Times New Roman"/>
              </w:rPr>
              <w:t xml:space="preserve">Regulas (ES) Nr. 575/2013 291. pants</w:t>
            </w:r>
          </w:p>
          <w:p w14:paraId="41917746" w14:textId="77777777" w:rsidR="00EF74C7" w:rsidRPr="002A677E" w:rsidDel="003E0C6A" w:rsidRDefault="00EF74C7" w:rsidP="00822842">
            <w:pPr>
              <w:keepNext/>
              <w:spacing w:before="60"/>
              <w:rPr>
                <w:bCs/>
                <w:sz w:val="24"/>
                <w:rFonts w:ascii="Times New Roman" w:hAnsi="Times New Roman"/>
              </w:rPr>
            </w:pPr>
            <w:r>
              <w:rPr>
                <w:sz w:val="24"/>
                <w:i/>
                <w:iCs/>
                <w:rFonts w:ascii="Times New Roman" w:hAnsi="Times New Roman"/>
              </w:rPr>
              <w:t xml:space="preserve">CCR</w:t>
            </w:r>
            <w:r>
              <w:rPr>
                <w:sz w:val="24"/>
                <w:rFonts w:ascii="Times New Roman" w:hAnsi="Times New Roman"/>
              </w:rPr>
              <w:t xml:space="preserve"> riska darījumi, kuros ir konstatēts specifiskais korelācijas risks saskaņā ar Regulas (ES) Nr. 575/2013 291. pantu.</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 xml:space="preserve">0130.</w:t>
            </w:r>
          </w:p>
        </w:tc>
        <w:tc>
          <w:tcPr>
            <w:tcW w:w="7655" w:type="dxa"/>
          </w:tcPr>
          <w:p w14:paraId="794C69D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Darījumi ar drošības rezervēm</w:t>
            </w:r>
          </w:p>
          <w:p w14:paraId="03856435"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Fonts w:ascii="Times New Roman" w:hAnsi="Times New Roman"/>
              </w:rPr>
              <w:t xml:space="preserve">Regulas (ES) Nr. 575/2013 272. panta 7. punkts</w:t>
            </w:r>
          </w:p>
          <w:p w14:paraId="2F61E58D" w14:textId="77777777" w:rsidR="00EF74C7" w:rsidRPr="002A677E" w:rsidDel="003E0C6A" w:rsidRDefault="00EF74C7" w:rsidP="00822842">
            <w:pPr>
              <w:keepNext/>
              <w:spacing w:before="60"/>
              <w:rPr>
                <w:sz w:val="24"/>
                <w:rFonts w:ascii="Times New Roman" w:hAnsi="Times New Roman"/>
              </w:rPr>
            </w:pPr>
            <w:r>
              <w:rPr>
                <w:sz w:val="24"/>
                <w:i/>
                <w:iCs/>
                <w:rFonts w:ascii="Times New Roman" w:hAnsi="Times New Roman"/>
              </w:rPr>
              <w:t xml:space="preserve">CCR</w:t>
            </w:r>
            <w:r>
              <w:rPr>
                <w:sz w:val="24"/>
                <w:rFonts w:ascii="Times New Roman" w:hAnsi="Times New Roman"/>
              </w:rPr>
              <w:t xml:space="preserve"> riska darījumi, kuriem ir drošības rezerves, t. i., savstarpējo prasījumu ieskaita kopas, uz kurām attiecas līgums par drošības rezervi saskaņā ar Regulas (ES) Nr. 575/2013 272. panta 7. punktu.</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 xml:space="preserve">0140.</w:t>
            </w:r>
          </w:p>
        </w:tc>
        <w:tc>
          <w:tcPr>
            <w:tcW w:w="7655" w:type="dxa"/>
          </w:tcPr>
          <w:p w14:paraId="4739FB5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Darījumi bez drošības rezervēm</w:t>
            </w:r>
          </w:p>
          <w:p w14:paraId="166C3DE8" w14:textId="77777777" w:rsidR="00EF74C7" w:rsidRPr="002A677E" w:rsidDel="003E0C6A" w:rsidRDefault="00EF74C7" w:rsidP="00822842">
            <w:pPr>
              <w:rPr>
                <w:sz w:val="24"/>
                <w:rFonts w:ascii="Times New Roman" w:hAnsi="Times New Roman"/>
              </w:rPr>
            </w:pPr>
            <w:r>
              <w:rPr>
                <w:sz w:val="24"/>
                <w:i/>
                <w:iCs/>
                <w:rFonts w:ascii="Times New Roman" w:hAnsi="Times New Roman"/>
              </w:rPr>
              <w:t xml:space="preserve">CCR</w:t>
            </w:r>
            <w:r>
              <w:rPr>
                <w:sz w:val="24"/>
                <w:rFonts w:ascii="Times New Roman" w:hAnsi="Times New Roman"/>
              </w:rPr>
              <w:t xml:space="preserve"> riska darījumi, kas nav ietverti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8" w:name="_Toc19715809"/>
      <w:bookmarkStart w:id="29" w:name="_Toc151714449"/>
      <w:r>
        <w:rPr>
          <w:sz w:val="24"/>
          <w:rFonts w:ascii="Times New Roman" w:hAnsi="Times New Roman"/>
        </w:rPr>
        <w:t xml:space="preserve">C 34.03. – </w:t>
      </w:r>
      <w:r>
        <w:rPr>
          <w:sz w:val="24"/>
          <w:i/>
          <w:iCs/>
          <w:rFonts w:ascii="Times New Roman" w:hAnsi="Times New Roman"/>
        </w:rPr>
        <w:t xml:space="preserve">CC</w:t>
      </w:r>
      <w:r>
        <w:rPr>
          <w:sz w:val="24"/>
          <w:rFonts w:ascii="Times New Roman" w:hAnsi="Times New Roman"/>
        </w:rPr>
        <w:t xml:space="preserve">R riska darījumi pēc standartizētām pieejām:</w:t>
      </w:r>
      <w:r>
        <w:rPr>
          <w:sz w:val="24"/>
          <w:rFonts w:ascii="Times New Roman" w:hAnsi="Times New Roman"/>
        </w:rPr>
        <w:t xml:space="preserve"> </w:t>
      </w:r>
      <w:r>
        <w:rPr>
          <w:sz w:val="24"/>
          <w:i/>
          <w:iCs/>
          <w:rFonts w:ascii="Times New Roman" w:hAnsi="Times New Roman"/>
        </w:rPr>
        <w:t xml:space="preserve">SA-CCR</w:t>
      </w:r>
      <w:r>
        <w:rPr>
          <w:sz w:val="24"/>
          <w:rFonts w:ascii="Times New Roman" w:hAnsi="Times New Roman"/>
        </w:rPr>
        <w:t xml:space="preserve"> vai Vienkāršotā </w:t>
      </w:r>
      <w:r>
        <w:rPr>
          <w:sz w:val="24"/>
          <w:i/>
          <w:iCs/>
          <w:rFonts w:ascii="Times New Roman" w:hAnsi="Times New Roman"/>
        </w:rPr>
        <w:t xml:space="preserve">SA-CCR</w:t>
      </w:r>
      <w:bookmarkEnd w:id="28"/>
      <w:bookmarkEnd w:id="29"/>
    </w:p>
    <w:p w14:paraId="25A32DCA"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0" w:name="_Toc19715810"/>
      <w:bookmarkStart w:id="31" w:name="_Toc151714450"/>
      <w:r>
        <w:rPr>
          <w:sz w:val="24"/>
          <w:rFonts w:ascii="Times New Roman" w:hAnsi="Times New Roman"/>
        </w:rPr>
        <w:t xml:space="preserve">Vispārīgas piezīmes</w:t>
      </w:r>
      <w:bookmarkEnd w:id="30"/>
      <w:bookmarkEnd w:id="31"/>
    </w:p>
    <w:p w14:paraId="00205649" w14:textId="08D8CDD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125</w:t>
      </w:r>
      <w:r>
        <w:fldChar w:fldCharType="end"/>
      </w:r>
      <w:r>
        <w:t xml:space="preserve">.</w:t>
      </w:r>
      <w:r>
        <w:t xml:space="preserve"> </w:t>
      </w:r>
      <w:r>
        <w:t xml:space="preserve">Šo veidni izmanto atsevišķi, lai uzrādītu </w:t>
      </w:r>
      <w:r>
        <w:rPr>
          <w:i/>
          <w:iCs/>
        </w:rPr>
        <w:t xml:space="preserve">CCR</w:t>
      </w:r>
      <w:r>
        <w:t xml:space="preserve"> riska darījumus, kas aprēķināti attiecīgi ar </w:t>
      </w:r>
      <w:r>
        <w:rPr>
          <w:i/>
          <w:iCs/>
        </w:rPr>
        <w:t xml:space="preserve">SA-CCR</w:t>
      </w:r>
      <w:r>
        <w:t xml:space="preserve"> vai vienkāršoto </w:t>
      </w:r>
      <w:r>
        <w:rPr>
          <w:i/>
          <w:iCs/>
        </w:rPr>
        <w:t xml:space="preserve">SA-CCR</w:t>
      </w:r>
      <w:r>
        <w:t xml:space="preserve">.</w:t>
      </w:r>
    </w:p>
    <w:p w14:paraId="739ACEF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2" w:name="_Toc19715811"/>
      <w:bookmarkStart w:id="33" w:name="_Toc151714451"/>
      <w:r>
        <w:rPr>
          <w:sz w:val="24"/>
          <w:rFonts w:ascii="Times New Roman" w:hAnsi="Times New Roman"/>
        </w:rPr>
        <w:t xml:space="preserve">Norādes par konkrētām pozīcijām</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Slejas</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 xml:space="preserve">0010.</w:t>
            </w:r>
          </w:p>
        </w:tc>
        <w:tc>
          <w:tcPr>
            <w:tcW w:w="7655" w:type="dxa"/>
            <w:vAlign w:val="center"/>
          </w:tcPr>
          <w:p w14:paraId="1B4E242B" w14:textId="77777777" w:rsidR="00EF74C7" w:rsidRPr="002A677E" w:rsidRDefault="00EF74C7" w:rsidP="00822842">
            <w:pPr>
              <w:keepNext/>
              <w:spacing w:before="60"/>
              <w:rPr>
                <w:sz w:val="24"/>
                <w:rFonts w:ascii="Times New Roman" w:hAnsi="Times New Roman"/>
              </w:rPr>
            </w:pPr>
            <w:r>
              <w:rPr>
                <w:rStyle w:val="InstructionsTabelleberschrift"/>
                <w:sz w:val="24"/>
                <w:rFonts w:ascii="Times New Roman" w:hAnsi="Times New Roman"/>
              </w:rPr>
              <w:t xml:space="preserve">VALŪTA</w:t>
            </w:r>
          </w:p>
          <w:p w14:paraId="1FCE36C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Attiecībā uz darījumiem, kas attiecināti uz procentu likmju riska kategoriju, uzrāda konkrētā darījuma denominācijas valūtu.</w:t>
            </w:r>
          </w:p>
          <w:p w14:paraId="451829C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Attiecībā uz darījumiem, kas attiecināti uz ārvalstu valūtas riska kategoriju, uzrāda vienu no konkrētā darījuma abu darījuma posmu denominācijas valūtām.</w:t>
            </w:r>
            <w:r>
              <w:rPr>
                <w:sz w:val="24"/>
                <w:rFonts w:ascii="Times New Roman" w:hAnsi="Times New Roman"/>
              </w:rPr>
              <w:t xml:space="preserve"> </w:t>
            </w:r>
            <w:r>
              <w:rPr>
                <w:sz w:val="24"/>
                <w:rFonts w:ascii="Times New Roman" w:hAnsi="Times New Roman"/>
              </w:rPr>
              <w:t xml:space="preserve">Iestādes attiecīgās valūtas ievieto valūtas pārī alfabētiskā secībā, piemēram, attiecībā uz ASV dolārs/Euro, lūdzu, aizpildīt šo sleju ar EUR un 0020. sleju ar USD.</w:t>
            </w:r>
            <w:r>
              <w:rPr>
                <w:sz w:val="24"/>
                <w:rFonts w:ascii="Times New Roman" w:hAnsi="Times New Roman"/>
              </w:rPr>
              <w:t xml:space="preserve"> </w:t>
            </w:r>
          </w:p>
          <w:p w14:paraId="4B0703E4"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Izmanto valūtu </w:t>
            </w:r>
            <w:r>
              <w:rPr>
                <w:sz w:val="24"/>
                <w:i/>
                <w:iCs/>
                <w:rFonts w:ascii="Times New Roman" w:hAnsi="Times New Roman"/>
              </w:rPr>
              <w:t xml:space="preserve">ISO</w:t>
            </w:r>
            <w:r>
              <w:rPr>
                <w:sz w:val="24"/>
                <w:rFonts w:ascii="Times New Roman" w:hAnsi="Times New Roman"/>
              </w:rPr>
              <w:t xml:space="preserve"> kodus.</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 xml:space="preserve">0020.</w:t>
            </w:r>
          </w:p>
        </w:tc>
        <w:tc>
          <w:tcPr>
            <w:tcW w:w="7655" w:type="dxa"/>
            <w:vAlign w:val="center"/>
          </w:tcPr>
          <w:p w14:paraId="24D1130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PĀRA OTRĀ VALŪTA</w:t>
            </w:r>
          </w:p>
          <w:p w14:paraId="03D4A6E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Attiecībā uz darījumiem, kas attiecināti uz ārvalstu valūtas riska kategoriju, uzrāda otro no konkrētā darījuma posmu denominācijas valūtām (attiecībā uz to, kas ņemta vērā 0010. slejā).</w:t>
            </w:r>
            <w:r>
              <w:rPr>
                <w:sz w:val="24"/>
                <w:rFonts w:ascii="Times New Roman" w:hAnsi="Times New Roman"/>
              </w:rPr>
              <w:t xml:space="preserve"> </w:t>
            </w:r>
            <w:r>
              <w:rPr>
                <w:sz w:val="24"/>
                <w:rFonts w:ascii="Times New Roman" w:hAnsi="Times New Roman"/>
              </w:rPr>
              <w:t xml:space="preserve">Iestādes attiecīgās valūtas ievieto valūtas pārī alfabētiskā secībā, piemēram, attiecībā uz ASV dolārs/Euro, lūdzu, aizpildīt šo sleju ar ASV dolāru un 0010.sleju ar EUR.</w:t>
            </w:r>
          </w:p>
          <w:p w14:paraId="1013A2D8"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Izmanto valūtu </w:t>
            </w:r>
            <w:r>
              <w:rPr>
                <w:sz w:val="24"/>
                <w:i/>
                <w:iCs/>
                <w:rFonts w:ascii="Times New Roman" w:hAnsi="Times New Roman"/>
              </w:rPr>
              <w:t xml:space="preserve">ISO</w:t>
            </w:r>
            <w:r>
              <w:rPr>
                <w:sz w:val="24"/>
                <w:rFonts w:ascii="Times New Roman" w:hAnsi="Times New Roman"/>
              </w:rPr>
              <w:t xml:space="preserve"> kodus.</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 xml:space="preserve">0030.</w:t>
            </w:r>
          </w:p>
        </w:tc>
        <w:tc>
          <w:tcPr>
            <w:tcW w:w="7655" w:type="dxa"/>
            <w:vAlign w:val="center"/>
          </w:tcPr>
          <w:p w14:paraId="2F0BA9E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DARĪJUMU SKAITS</w:t>
            </w:r>
          </w:p>
          <w:p w14:paraId="6D81C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Sk. norādes attiecībā uz C 34.02. veidnes 0020. sleju.</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 xml:space="preserve">0040.</w:t>
            </w:r>
          </w:p>
        </w:tc>
        <w:tc>
          <w:tcPr>
            <w:tcW w:w="7655" w:type="dxa"/>
            <w:vAlign w:val="center"/>
          </w:tcPr>
          <w:p w14:paraId="160D7E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NOSACĪTĀS SUMMAS</w:t>
            </w:r>
          </w:p>
          <w:p w14:paraId="1EAD85A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Sk. norādes attiecībā uz C 34.02. veidnes 0030. sleju.</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 xml:space="preserve">0050.</w:t>
            </w:r>
          </w:p>
        </w:tc>
        <w:tc>
          <w:tcPr>
            <w:tcW w:w="7655" w:type="dxa"/>
            <w:vAlign w:val="center"/>
          </w:tcPr>
          <w:p w14:paraId="4F3928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TIRGUS VĒRTĪBA (</w:t>
            </w:r>
            <w:r>
              <w:rPr>
                <w:rStyle w:val="InstructionsTabelleberschrift"/>
                <w:sz w:val="24"/>
                <w:i/>
                <w:iCs/>
                <w:rFonts w:ascii="Times New Roman" w:hAnsi="Times New Roman"/>
              </w:rPr>
              <w:t xml:space="preserve">CMV</w:t>
            </w:r>
            <w:r>
              <w:rPr>
                <w:rStyle w:val="InstructionsTabelleberschrift"/>
                <w:sz w:val="24"/>
                <w:rFonts w:ascii="Times New Roman" w:hAnsi="Times New Roman"/>
              </w:rPr>
              <w:t xml:space="preserve">), POZITĪVA</w:t>
            </w:r>
          </w:p>
          <w:p w14:paraId="5ED54A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Visu riska ierobežošanas kopu, kuru </w:t>
            </w:r>
            <w:r>
              <w:rPr>
                <w:sz w:val="24"/>
                <w:i/>
                <w:iCs/>
                <w:rFonts w:ascii="Times New Roman" w:hAnsi="Times New Roman"/>
              </w:rPr>
              <w:t xml:space="preserve">CMV</w:t>
            </w:r>
            <w:r>
              <w:rPr>
                <w:sz w:val="24"/>
                <w:rFonts w:ascii="Times New Roman" w:hAnsi="Times New Roman"/>
              </w:rPr>
              <w:t xml:space="preserve"> ir pozitīva, pašreizējo tirgus vērtību (</w:t>
            </w:r>
            <w:r>
              <w:rPr>
                <w:sz w:val="24"/>
                <w:i/>
                <w:iCs/>
                <w:rFonts w:ascii="Times New Roman" w:hAnsi="Times New Roman"/>
              </w:rPr>
              <w:t xml:space="preserve">CMV</w:t>
            </w:r>
            <w:r>
              <w:rPr>
                <w:sz w:val="24"/>
                <w:rFonts w:ascii="Times New Roman" w:hAnsi="Times New Roman"/>
              </w:rPr>
              <w:t xml:space="preserve">) summa attiecīgajā riska kategorijā.</w:t>
            </w:r>
          </w:p>
          <w:p w14:paraId="379A6FFF" w14:textId="77777777" w:rsidR="00EF74C7" w:rsidRPr="002A677E" w:rsidRDefault="00EF74C7" w:rsidP="00822842">
            <w:pPr>
              <w:keepNext/>
              <w:spacing w:before="60"/>
              <w:rPr>
                <w:sz w:val="24"/>
                <w:rFonts w:ascii="Times New Roman" w:hAnsi="Times New Roman"/>
              </w:rPr>
            </w:pPr>
            <w:r>
              <w:rPr>
                <w:sz w:val="24"/>
                <w:i/>
                <w:iCs/>
                <w:rFonts w:ascii="Times New Roman" w:hAnsi="Times New Roman"/>
              </w:rPr>
              <w:t xml:space="preserve">CMV</w:t>
            </w:r>
            <w:r>
              <w:rPr>
                <w:sz w:val="24"/>
                <w:rFonts w:ascii="Times New Roman" w:hAnsi="Times New Roman"/>
              </w:rPr>
              <w:t xml:space="preserve"> riska ierobežošanas kopas līmenī nosaka tādu darījumu savstarpējo prasījumu ieskaita pozitīvās un negatīvās tirgus vērtības, kas apvienoti vienā riska ierobežošanas kopā, neņemot vērā jebkādu nodrošinājumu, kas turēts vai iesniegts.</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 xml:space="preserve">0060.</w:t>
            </w:r>
          </w:p>
        </w:tc>
        <w:tc>
          <w:tcPr>
            <w:tcW w:w="7655" w:type="dxa"/>
            <w:vAlign w:val="center"/>
          </w:tcPr>
          <w:p w14:paraId="58A56A8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TIRGUS VĒRTĪBA (</w:t>
            </w:r>
            <w:r>
              <w:rPr>
                <w:rStyle w:val="InstructionsTabelleberschrift"/>
                <w:sz w:val="24"/>
                <w:i/>
                <w:iCs/>
                <w:rFonts w:ascii="Times New Roman" w:hAnsi="Times New Roman"/>
              </w:rPr>
              <w:t xml:space="preserve">CMV</w:t>
            </w:r>
            <w:r>
              <w:rPr>
                <w:rStyle w:val="InstructionsTabelleberschrift"/>
                <w:sz w:val="24"/>
                <w:rFonts w:ascii="Times New Roman" w:hAnsi="Times New Roman"/>
              </w:rPr>
              <w:t xml:space="preserve">), NEGATĪVA</w:t>
            </w:r>
          </w:p>
          <w:p w14:paraId="5CF4FB5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Visu savstarpējo prasījumu ieskaita kopu, kuru </w:t>
            </w:r>
            <w:r>
              <w:rPr>
                <w:sz w:val="24"/>
                <w:i/>
                <w:iCs/>
                <w:rFonts w:ascii="Times New Roman" w:hAnsi="Times New Roman"/>
              </w:rPr>
              <w:t xml:space="preserve">CMV</w:t>
            </w:r>
            <w:r>
              <w:rPr>
                <w:sz w:val="24"/>
                <w:rFonts w:ascii="Times New Roman" w:hAnsi="Times New Roman"/>
              </w:rPr>
              <w:t xml:space="preserve"> ir negatīva, absolūto pašreizējo tirgus vērtību (</w:t>
            </w:r>
            <w:r>
              <w:rPr>
                <w:sz w:val="24"/>
                <w:i/>
                <w:iCs/>
                <w:rFonts w:ascii="Times New Roman" w:hAnsi="Times New Roman"/>
              </w:rPr>
              <w:t xml:space="preserve">CMV</w:t>
            </w:r>
            <w:r>
              <w:rPr>
                <w:sz w:val="24"/>
                <w:rFonts w:ascii="Times New Roman" w:hAnsi="Times New Roman"/>
              </w:rPr>
              <w:t xml:space="preserve">) summa attiecīgajā riska kategorijā.</w:t>
            </w:r>
          </w:p>
          <w:p w14:paraId="3D5BE059" w14:textId="77777777" w:rsidR="00EF74C7" w:rsidRPr="002A677E" w:rsidRDefault="00EF74C7" w:rsidP="00822842">
            <w:pPr>
              <w:keepNext/>
              <w:spacing w:before="60"/>
              <w:rPr>
                <w:rStyle w:val="InstructionsTabelleberschrift"/>
                <w:sz w:val="24"/>
                <w:rFonts w:ascii="Times New Roman" w:hAnsi="Times New Roman"/>
              </w:rPr>
            </w:pPr>
            <w:r>
              <w:rPr>
                <w:sz w:val="24"/>
                <w:i/>
                <w:iCs/>
                <w:rFonts w:ascii="Times New Roman" w:hAnsi="Times New Roman"/>
              </w:rPr>
              <w:t xml:space="preserve">CMV</w:t>
            </w:r>
            <w:r>
              <w:rPr>
                <w:sz w:val="24"/>
                <w:rFonts w:ascii="Times New Roman" w:hAnsi="Times New Roman"/>
              </w:rPr>
              <w:t xml:space="preserve"> riska ierobežošanas kopas līmenī nosaka tādu darījumu savstarpējo prasījumu ieskaita pozitīvās un negatīvās tirgus vērtības, kas apvienoti vienā riska ierobežošanas kopā, neņemot vērā jebkādu nodrošinājumu, kas turēts vai iesniegts.</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 xml:space="preserve">0070.</w:t>
            </w:r>
          </w:p>
        </w:tc>
        <w:tc>
          <w:tcPr>
            <w:tcW w:w="7655" w:type="dxa"/>
            <w:vAlign w:val="center"/>
          </w:tcPr>
          <w:p w14:paraId="22809508" w14:textId="77777777" w:rsidR="00EF74C7" w:rsidRPr="002A677E" w:rsidRDefault="00EF74C7" w:rsidP="00822842">
            <w:pPr>
              <w:keepNext/>
              <w:spacing w:before="60"/>
              <w:rPr>
                <w:sz w:val="24"/>
                <w:rFonts w:ascii="Times New Roman" w:hAnsi="Times New Roman"/>
              </w:rPr>
            </w:pPr>
            <w:r>
              <w:rPr>
                <w:sz w:val="24"/>
                <w:rStyle w:val="InstructionsTabelleberschrift"/>
                <w:rFonts w:ascii="Times New Roman" w:hAnsi="Times New Roman"/>
              </w:rPr>
              <w:t xml:space="preserve">PAPILDINĀJUMS</w:t>
            </w:r>
            <w:r>
              <w:rPr>
                <w:sz w:val="24"/>
                <w:rFonts w:ascii="Times New Roman" w:hAnsi="Times New Roman"/>
              </w:rPr>
              <w:t xml:space="preserve"> </w:t>
            </w:r>
          </w:p>
          <w:p w14:paraId="39E215C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280.a. līdz 280.f pants un 281. panta 2. punkts.</w:t>
            </w:r>
          </w:p>
          <w:p w14:paraId="3169F37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Iestāde uzrāda visu papildinājumu summu attiecīgajā riska ierobežošanas kopā/riska kategorijā.</w:t>
            </w:r>
            <w:r>
              <w:rPr>
                <w:sz w:val="24"/>
                <w:rFonts w:ascii="Times New Roman" w:hAnsi="Times New Roman"/>
              </w:rPr>
              <w:t xml:space="preserve"> </w:t>
            </w:r>
          </w:p>
          <w:p w14:paraId="48AD1D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Papildinājumu katrai riska kategorijai, ko izmanto, lai noteiktu savstarpējo prasījumu ieskaita kopas potenciālo nākotnes riska darījumu saskaņā ar Regulas (ES) Nr. 575/2013 278. panta 1. punktu vai 281. panta 2. punkta f) apakšpunktu, aprēķina saskaņā ar minētās regulas 280.a līdz 280.f pantu.</w:t>
            </w:r>
            <w:r>
              <w:rPr>
                <w:sz w:val="24"/>
                <w:rFonts w:ascii="Times New Roman" w:hAnsi="Times New Roman"/>
              </w:rPr>
              <w:t xml:space="preserve"> </w:t>
            </w:r>
            <w:r>
              <w:rPr>
                <w:sz w:val="24"/>
                <w:rFonts w:ascii="Times New Roman" w:hAnsi="Times New Roman"/>
              </w:rPr>
              <w:t xml:space="preserve">Attiecībā uz vienkāršoto </w:t>
            </w:r>
            <w:r>
              <w:rPr>
                <w:sz w:val="24"/>
                <w:i/>
                <w:iCs/>
                <w:rFonts w:ascii="Times New Roman" w:hAnsi="Times New Roman"/>
              </w:rPr>
              <w:t xml:space="preserve">SA-CCR</w:t>
            </w:r>
            <w:r>
              <w:rPr>
                <w:sz w:val="24"/>
                <w:rFonts w:ascii="Times New Roman" w:hAnsi="Times New Roman"/>
              </w:rPr>
              <w:t xml:space="preserve"> piemēro Regulas (ES) Nr. 575/2013 281. panta 2. punkta noteikumus.</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Rindas</w:t>
            </w:r>
            <w:r>
              <w:rPr>
                <w:b/>
              </w:rPr>
              <w:t xml:space="preserve">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 xml:space="preserve">0050.,0120., 0190., 0230., 0270., 0340</w:t>
            </w:r>
          </w:p>
        </w:tc>
        <w:tc>
          <w:tcPr>
            <w:tcW w:w="7655" w:type="dxa"/>
          </w:tcPr>
          <w:p w14:paraId="376D7AC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RISKA KATEGORIJAS</w:t>
            </w:r>
          </w:p>
          <w:p w14:paraId="7E0D19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277. un 277.a pants.</w:t>
            </w:r>
          </w:p>
          <w:p w14:paraId="578D076E"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Darījumus klasificē saskaņā ar to riska kategoriju, kurai tie pieder, saskaņā ar Regulas (ES) Nr. 575/2013 277. panta 1. līdz 4. punktu.</w:t>
            </w:r>
          </w:p>
          <w:p w14:paraId="5862E67E"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Piesaisti riska ierobežošanas kopām saskaņā ar attiecīgo riska kategoriju veic, ievērojot Regulas (ES) Nr. 575/2013 277.a pantu.</w:t>
            </w:r>
          </w:p>
          <w:p w14:paraId="65316050"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Attiecībā uz vienkāršoto </w:t>
            </w:r>
            <w:r>
              <w:rPr>
                <w:sz w:val="24"/>
                <w:i/>
                <w:iCs/>
                <w:rFonts w:ascii="Times New Roman" w:hAnsi="Times New Roman"/>
              </w:rPr>
              <w:t xml:space="preserve">SA-CCR</w:t>
            </w:r>
            <w:r>
              <w:rPr>
                <w:sz w:val="24"/>
                <w:rFonts w:ascii="Times New Roman" w:hAnsi="Times New Roman"/>
              </w:rPr>
              <w:t xml:space="preserve"> piemēro Regulas (ES) Nr. 575/2013 281. panta 2. punkta noteikumus.</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 xml:space="preserve">0020.–0040.</w:t>
            </w:r>
          </w:p>
        </w:tc>
        <w:tc>
          <w:tcPr>
            <w:tcW w:w="7655" w:type="dxa"/>
          </w:tcPr>
          <w:p w14:paraId="4160411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No kuriem attiecināti uz vairāk nekā vienu riska kategoriju</w:t>
            </w:r>
          </w:p>
          <w:p w14:paraId="24AE7BA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277. panta 3. punkts</w:t>
            </w:r>
          </w:p>
          <w:p w14:paraId="54CB9801"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Atvasināto instrumentu darījumi ar vairāk nekā vienu būtisku risku raksturojošu rādītāju, kas attiecināti uz divām (0020), trim (0030) vai vairāk nekā trim (0040) riska kategorijām, balstoties uz visbūtiskāko risku raksturojošu rādītāju katrā riska kategorijā saskaņā ar Regulas (ES) Nr. 575/2013 277. panta 3. punktu un minētās regulas 277. panta 5. punktā minēto EBI regulatīvo tehnisko standartu projektu.</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 xml:space="preserve">0070.-0110. un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Lielākā valūta un valūtu pāris</w:t>
            </w:r>
          </w:p>
          <w:p w14:paraId="208A8263" w14:textId="77777777" w:rsidR="00EF74C7" w:rsidRPr="002A677E" w:rsidRDefault="00EF74C7" w:rsidP="00822842">
            <w:pPr>
              <w:rPr>
                <w:sz w:val="24"/>
                <w:rFonts w:ascii="Times New Roman" w:hAnsi="Times New Roman"/>
              </w:rPr>
            </w:pPr>
            <w:r>
              <w:rPr>
                <w:sz w:val="24"/>
                <w:rFonts w:ascii="Times New Roman" w:hAnsi="Times New Roman"/>
              </w:rPr>
              <w:t xml:space="preserve">Klasifikāciju veic, pamatojoties uz iestādes portfeļa </w:t>
            </w:r>
            <w:r>
              <w:rPr>
                <w:sz w:val="24"/>
                <w:i/>
                <w:iCs/>
                <w:rFonts w:ascii="Times New Roman" w:hAnsi="Times New Roman"/>
              </w:rPr>
              <w:t xml:space="preserve">CMV</w:t>
            </w:r>
            <w:r>
              <w:rPr>
                <w:sz w:val="24"/>
                <w:rFonts w:ascii="Times New Roman" w:hAnsi="Times New Roman"/>
              </w:rPr>
              <w:t xml:space="preserve">, kas ir attiecīgi </w:t>
            </w:r>
            <w:r>
              <w:rPr>
                <w:sz w:val="24"/>
                <w:i/>
                <w:iCs/>
                <w:rFonts w:ascii="Times New Roman" w:hAnsi="Times New Roman"/>
              </w:rPr>
              <w:t xml:space="preserve">SA-CCR</w:t>
            </w:r>
            <w:r>
              <w:rPr>
                <w:sz w:val="24"/>
                <w:rFonts w:ascii="Times New Roman" w:hAnsi="Times New Roman"/>
              </w:rPr>
              <w:t xml:space="preserve"> vai vienkāršotās </w:t>
            </w:r>
            <w:r>
              <w:rPr>
                <w:sz w:val="24"/>
                <w:i/>
                <w:iCs/>
                <w:rFonts w:ascii="Times New Roman" w:hAnsi="Times New Roman"/>
              </w:rPr>
              <w:t xml:space="preserve">SA-CC</w:t>
            </w:r>
            <w:r>
              <w:rPr>
                <w:sz w:val="24"/>
                <w:rFonts w:ascii="Times New Roman" w:hAnsi="Times New Roman"/>
              </w:rPr>
              <w:t xml:space="preserve">R darbības jomā, attiecībā uz darījumiem, kas attiecināti attiecīgi uz procentu likmju riska un ārvalstu valūtas riska kategoriju.</w:t>
            </w:r>
            <w:r>
              <w:rPr>
                <w:sz w:val="24"/>
                <w:rFonts w:ascii="Times New Roman" w:hAnsi="Times New Roman"/>
              </w:rPr>
              <w:t xml:space="preserve"> </w:t>
            </w:r>
          </w:p>
          <w:p w14:paraId="7CB8DC17" w14:textId="77777777" w:rsidR="00EF74C7" w:rsidRPr="002A677E" w:rsidRDefault="00EF74C7" w:rsidP="00822842">
            <w:pPr>
              <w:rPr>
                <w:i/>
                <w:sz w:val="24"/>
                <w:rFonts w:ascii="Times New Roman" w:hAnsi="Times New Roman"/>
              </w:rPr>
            </w:pPr>
            <w:r>
              <w:rPr>
                <w:sz w:val="24"/>
              </w:rPr>
              <w:t xml:space="preserve">Klasifikācijas nolūkā summē </w:t>
            </w:r>
            <w:r>
              <w:rPr>
                <w:sz w:val="24"/>
                <w:i/>
                <w:iCs/>
              </w:rPr>
              <w:t xml:space="preserve">CMV</w:t>
            </w:r>
            <w:r>
              <w:rPr>
                <w:sz w:val="24"/>
              </w:rPr>
              <w:t xml:space="preserve"> pozīciju absolūto vērtību.</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 xml:space="preserve">0060, 0130, 0200, 0240, 0280</w:t>
            </w:r>
          </w:p>
        </w:tc>
        <w:tc>
          <w:tcPr>
            <w:tcW w:w="7655" w:type="dxa"/>
          </w:tcPr>
          <w:p w14:paraId="3DB2476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Izslēdzošā attiecināšana</w:t>
            </w:r>
          </w:p>
          <w:p w14:paraId="7B69873D"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277. panta 1. un 2. punkts</w:t>
            </w:r>
          </w:p>
          <w:p w14:paraId="1A762D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Atvasināto instrumentu darījumi, kas attiecināti tikai un vienīgi uz vienu riska kategoriju saskaņā ar Regulas (ES) Nr. 575/2013 277. panta 1. un 2. punktu.</w:t>
            </w:r>
            <w:r>
              <w:rPr>
                <w:sz w:val="24"/>
                <w:rFonts w:ascii="Times New Roman" w:hAnsi="Times New Roman"/>
              </w:rPr>
              <w:t xml:space="preserve"> </w:t>
            </w:r>
          </w:p>
          <w:p w14:paraId="42AAB87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Izslēdz darījumus, kas ir attiecināti uz dažādām riska kategorijām saskaņā ar Regulas (ES) Nr. 575/2013 277. panta 3. punktu.</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w:t>
            </w:r>
            <w:r>
              <w:t xml:space="preserve"> </w:t>
            </w:r>
          </w:p>
        </w:tc>
        <w:tc>
          <w:tcPr>
            <w:tcW w:w="7655" w:type="dxa"/>
          </w:tcPr>
          <w:p w14:paraId="4C85502F" w14:textId="77777777" w:rsidR="00EF74C7" w:rsidRPr="00624117" w:rsidRDefault="00EF74C7" w:rsidP="00822842">
            <w:pPr>
              <w:pStyle w:val="TableMainHeading"/>
              <w:spacing w:before="60"/>
              <w:jc w:val="both"/>
              <w:rPr>
                <w:rStyle w:val="InstructionsTabelleberschrift"/>
                <w:sz w:val="24"/>
                <w:rFonts w:ascii="Times New Roman" w:hAnsi="Times New Roman"/>
              </w:rPr>
            </w:pPr>
            <w:r>
              <w:rPr>
                <w:rStyle w:val="InstructionsTabelleberschrift"/>
                <w:sz w:val="24"/>
                <w:rFonts w:ascii="Times New Roman" w:hAnsi="Times New Roman"/>
              </w:rPr>
              <w:t xml:space="preserve">Ar vienu parādnieku saistītie darījumi</w:t>
            </w:r>
            <w:r>
              <w:rPr>
                <w:rStyle w:val="InstructionsTabelleberschrift"/>
                <w:sz w:val="24"/>
                <w:rFonts w:ascii="Times New Roman" w:hAnsi="Times New Roman"/>
              </w:rPr>
              <w:t xml:space="preserve"> </w:t>
            </w:r>
          </w:p>
          <w:p w14:paraId="31620001" w14:textId="77777777" w:rsidR="00EF74C7" w:rsidRPr="002A677E" w:rsidRDefault="00EF74C7" w:rsidP="00822842">
            <w:pPr>
              <w:pStyle w:val="TableMainHeading"/>
              <w:spacing w:before="60"/>
              <w:jc w:val="both"/>
              <w:rPr>
                <w:rStyle w:val="InstructionsTabelleberschrift"/>
                <w:sz w:val="24"/>
                <w:rFonts w:ascii="Times New Roman" w:hAnsi="Times New Roman"/>
              </w:rPr>
            </w:pPr>
            <w:r>
              <w:rPr>
                <w:sz w:val="24"/>
                <w:rFonts w:ascii="Times New Roman" w:hAnsi="Times New Roman"/>
              </w:rPr>
              <w:t xml:space="preserve">Ar vienu parādnieku saistītie darījumi, kuri attiecīgi ir attiecināti uz kredītriska un kapitāla vērtspapīru riska kategoriju.</w:t>
            </w:r>
            <w:r>
              <w:rPr>
                <w:sz w:val="24"/>
                <w:rStyle w:val="InstructionsTabelleberschrift"/>
                <w:rFonts w:ascii="Times New Roman" w:hAnsi="Times New Roman"/>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 xml:space="preserve">0220., 0260.</w:t>
            </w:r>
          </w:p>
        </w:tc>
        <w:tc>
          <w:tcPr>
            <w:tcW w:w="7655" w:type="dxa"/>
          </w:tcPr>
          <w:p w14:paraId="116A322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Ar vairākiem parādniekiem saistītie darījumi</w:t>
            </w:r>
          </w:p>
          <w:p w14:paraId="3213EA59"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Ar vairākiem parādniekiem saistītie darījumi, kuri attiecīgi ir attiecināti uz kredītriska un kapitāla vērtspapīru riska kategoriju.</w:t>
            </w:r>
            <w:r>
              <w:rPr>
                <w:sz w:val="24"/>
                <w:rFonts w:ascii="Times New Roman" w:hAnsi="Times New Roman"/>
              </w:rPr>
              <w:t xml:space="preserve">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 xml:space="preserve">0290.–0330.</w:t>
            </w:r>
          </w:p>
        </w:tc>
        <w:tc>
          <w:tcPr>
            <w:tcW w:w="7655" w:type="dxa"/>
          </w:tcPr>
          <w:p w14:paraId="759D7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Preču riska kategorijas riska ierobežošanas kopas</w:t>
            </w:r>
          </w:p>
          <w:p w14:paraId="345A15AB"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Atvasināto instrumentu darījumi, kas piesaistīti preču riska kategorijas riska ierobežošanas kopām, kā uzskaitīts Regulas (ES) Nr. 575/2013 277.a panta 1. punkta e) apakšpunktā.</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4" w:name="_Toc19715812"/>
      <w:bookmarkStart w:id="35" w:name="_Toc151714452"/>
      <w:r>
        <w:rPr>
          <w:sz w:val="24"/>
          <w:rFonts w:ascii="Times New Roman" w:hAnsi="Times New Roman"/>
        </w:rPr>
        <w:t xml:space="preserve">C 34.04 – </w:t>
      </w:r>
      <w:r>
        <w:rPr>
          <w:sz w:val="24"/>
          <w:i/>
          <w:iCs/>
          <w:rFonts w:ascii="Times New Roman" w:hAnsi="Times New Roman"/>
        </w:rPr>
        <w:t xml:space="preserve">CCR</w:t>
      </w:r>
      <w:r>
        <w:rPr>
          <w:sz w:val="24"/>
          <w:rFonts w:ascii="Times New Roman" w:hAnsi="Times New Roman"/>
        </w:rPr>
        <w:t xml:space="preserve"> riska darījumi pēc sākotnējās darījumu vērtības metodes (</w:t>
      </w:r>
      <w:r>
        <w:rPr>
          <w:sz w:val="24"/>
          <w:i/>
          <w:iCs/>
          <w:rFonts w:ascii="Times New Roman" w:hAnsi="Times New Roman"/>
        </w:rPr>
        <w:t xml:space="preserve">OEM</w:t>
      </w:r>
      <w:r>
        <w:rPr>
          <w:sz w:val="24"/>
          <w:rFonts w:ascii="Times New Roman" w:hAnsi="Times New Roman"/>
        </w:rPr>
        <w:t xml:space="preserve">)</w:t>
      </w:r>
      <w:bookmarkEnd w:id="34"/>
      <w:bookmarkEnd w:id="35"/>
    </w:p>
    <w:p w14:paraId="70D39844"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6" w:name="_Toc19715813"/>
      <w:bookmarkStart w:id="37" w:name="_Toc151714453"/>
      <w:r>
        <w:rPr>
          <w:sz w:val="24"/>
          <w:rFonts w:ascii="Times New Roman" w:hAnsi="Times New Roman"/>
        </w:rPr>
        <w:t xml:space="preserve">Norādes par konkrētām pozīcijām</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Slejas</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 xml:space="preserve">0010. – 0020.</w:t>
            </w:r>
          </w:p>
        </w:tc>
        <w:tc>
          <w:tcPr>
            <w:tcW w:w="7655" w:type="dxa"/>
            <w:vAlign w:val="center"/>
          </w:tcPr>
          <w:p w14:paraId="1143FA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Norādes attiecībā uz 0010. un 0020. sleju ir tās, kuras sniegtas attiecībā uz C 34.02. veidni.</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 xml:space="preserve">0030.</w:t>
            </w:r>
          </w:p>
        </w:tc>
        <w:tc>
          <w:tcPr>
            <w:tcW w:w="7655" w:type="dxa"/>
            <w:vAlign w:val="center"/>
          </w:tcPr>
          <w:p w14:paraId="625DEDC4"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TIRGUS VĒRTĪBA (</w:t>
            </w:r>
            <w:r>
              <w:rPr>
                <w:rStyle w:val="InstructionsTabelleberschrift"/>
                <w:sz w:val="24"/>
                <w:i/>
                <w:iCs/>
                <w:rFonts w:ascii="Times New Roman" w:hAnsi="Times New Roman"/>
              </w:rPr>
              <w:t xml:space="preserve">CMV</w:t>
            </w:r>
            <w:r>
              <w:rPr>
                <w:rStyle w:val="InstructionsTabelleberschrift"/>
                <w:sz w:val="24"/>
                <w:rFonts w:ascii="Times New Roman" w:hAnsi="Times New Roman"/>
              </w:rPr>
              <w:t xml:space="preserve">), POZITĪVA</w:t>
            </w:r>
          </w:p>
          <w:p w14:paraId="487751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Visu darījumu, kuru </w:t>
            </w:r>
            <w:r>
              <w:rPr>
                <w:sz w:val="24"/>
                <w:i/>
                <w:iCs/>
                <w:rFonts w:ascii="Times New Roman" w:hAnsi="Times New Roman"/>
              </w:rPr>
              <w:t xml:space="preserve">CMV</w:t>
            </w:r>
            <w:r>
              <w:rPr>
                <w:sz w:val="24"/>
                <w:rFonts w:ascii="Times New Roman" w:hAnsi="Times New Roman"/>
              </w:rPr>
              <w:t xml:space="preserve"> ir pozitīva, pašreizējo tirgus vērtību (</w:t>
            </w:r>
            <w:r>
              <w:rPr>
                <w:sz w:val="24"/>
                <w:i/>
                <w:iCs/>
                <w:rFonts w:ascii="Times New Roman" w:hAnsi="Times New Roman"/>
              </w:rPr>
              <w:t xml:space="preserve">CMV</w:t>
            </w:r>
            <w:r>
              <w:rPr>
                <w:sz w:val="24"/>
                <w:rFonts w:ascii="Times New Roman" w:hAnsi="Times New Roman"/>
              </w:rPr>
              <w:t xml:space="preserve">) summa attiecīgajā riska kategorijā.</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 xml:space="preserve">0040.</w:t>
            </w:r>
          </w:p>
        </w:tc>
        <w:tc>
          <w:tcPr>
            <w:tcW w:w="7655" w:type="dxa"/>
            <w:vAlign w:val="center"/>
          </w:tcPr>
          <w:p w14:paraId="70CB5B2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TIRGUS VĒRTĪBA (</w:t>
            </w:r>
            <w:r>
              <w:rPr>
                <w:rStyle w:val="InstructionsTabelleberschrift"/>
                <w:sz w:val="24"/>
                <w:i/>
                <w:iCs/>
                <w:rFonts w:ascii="Times New Roman" w:hAnsi="Times New Roman"/>
              </w:rPr>
              <w:t xml:space="preserve">CMV</w:t>
            </w:r>
            <w:r>
              <w:rPr>
                <w:rStyle w:val="InstructionsTabelleberschrift"/>
                <w:sz w:val="24"/>
                <w:rFonts w:ascii="Times New Roman" w:hAnsi="Times New Roman"/>
              </w:rPr>
              <w:t xml:space="preserve">), NEGATĪVA</w:t>
            </w:r>
          </w:p>
          <w:p w14:paraId="4475C6E2" w14:textId="77777777" w:rsidR="00EF74C7" w:rsidRPr="002A677E" w:rsidRDefault="00EF74C7" w:rsidP="00822842">
            <w:pPr>
              <w:keepNext/>
              <w:spacing w:before="60"/>
              <w:rPr>
                <w:rStyle w:val="InstructionsTabelleberschrift"/>
                <w:b w:val="0"/>
                <w:bCs w:val="0"/>
                <w:sz w:val="24"/>
                <w:u w:val="none"/>
                <w:rFonts w:ascii="Times New Roman" w:hAnsi="Times New Roman"/>
              </w:rPr>
            </w:pPr>
            <w:r>
              <w:rPr>
                <w:sz w:val="24"/>
                <w:rFonts w:ascii="Times New Roman" w:hAnsi="Times New Roman"/>
              </w:rPr>
              <w:t xml:space="preserve">Visu darījumu, kuru </w:t>
            </w:r>
            <w:r>
              <w:rPr>
                <w:sz w:val="24"/>
                <w:i/>
                <w:iCs/>
                <w:rFonts w:ascii="Times New Roman" w:hAnsi="Times New Roman"/>
              </w:rPr>
              <w:t xml:space="preserve">CMV</w:t>
            </w:r>
            <w:r>
              <w:rPr>
                <w:sz w:val="24"/>
                <w:rFonts w:ascii="Times New Roman" w:hAnsi="Times New Roman"/>
              </w:rPr>
              <w:t xml:space="preserve"> ir negatīva, absolūto pašreizējo tirgus vērtību (</w:t>
            </w:r>
            <w:r>
              <w:rPr>
                <w:sz w:val="24"/>
                <w:i/>
                <w:iCs/>
                <w:rFonts w:ascii="Times New Roman" w:hAnsi="Times New Roman"/>
              </w:rPr>
              <w:t xml:space="preserve">CMV</w:t>
            </w:r>
            <w:r>
              <w:rPr>
                <w:sz w:val="24"/>
                <w:rFonts w:ascii="Times New Roman" w:hAnsi="Times New Roman"/>
              </w:rPr>
              <w:t xml:space="preserve">) summa attiecīgajā riska kategorijā.</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 xml:space="preserve">0050.</w:t>
            </w:r>
          </w:p>
        </w:tc>
        <w:tc>
          <w:tcPr>
            <w:tcW w:w="7655" w:type="dxa"/>
            <w:vAlign w:val="center"/>
          </w:tcPr>
          <w:p w14:paraId="734C59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POTENCIĀLĀ NĀKOTNES RISKA POZĪCIJU VĒRTĪBA (</w:t>
            </w:r>
            <w:r>
              <w:rPr>
                <w:rStyle w:val="InstructionsTabelleberschrift"/>
                <w:sz w:val="24"/>
                <w:i/>
                <w:iCs/>
                <w:rFonts w:ascii="Times New Roman" w:hAnsi="Times New Roman"/>
              </w:rPr>
              <w:t xml:space="preserve">PFE</w:t>
            </w:r>
            <w:r>
              <w:rPr>
                <w:rStyle w:val="InstructionsTabelleberschrift"/>
                <w:sz w:val="24"/>
                <w:rFonts w:ascii="Times New Roman" w:hAnsi="Times New Roman"/>
              </w:rPr>
              <w:t xml:space="preserve">)</w:t>
            </w:r>
          </w:p>
          <w:p w14:paraId="53085A1E"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Iestādes uzrāda </w:t>
            </w:r>
            <w:r>
              <w:rPr>
                <w:sz w:val="24"/>
                <w:i/>
                <w:iCs/>
                <w:rFonts w:ascii="Times New Roman" w:hAnsi="Times New Roman"/>
              </w:rPr>
              <w:t xml:space="preserve">PFE</w:t>
            </w:r>
            <w:r>
              <w:rPr>
                <w:sz w:val="24"/>
                <w:rFonts w:ascii="Times New Roman" w:hAnsi="Times New Roman"/>
              </w:rPr>
              <w:t xml:space="preserve"> summu attiecībā uz visiem darījumiem, kuri pieder pie tās pašas riska kategorijas.</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Rindas</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 xml:space="preserve">0020. – 0070.</w:t>
            </w:r>
          </w:p>
        </w:tc>
        <w:tc>
          <w:tcPr>
            <w:tcW w:w="7655" w:type="dxa"/>
            <w:vAlign w:val="center"/>
          </w:tcPr>
          <w:p w14:paraId="31AB6B3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RISKA KATEGORIJAS</w:t>
            </w:r>
          </w:p>
          <w:p w14:paraId="183CF2D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Atvasināto instrumentu darījumi, kas ir attiecināti uz riska kategorijām, kā minēts Regulas (ES) Nr. 575/2013 282. panta 4. punkta b) apakšpunktā.</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8" w:name="_Toc19715814"/>
      <w:bookmarkStart w:id="39" w:name="_Toc151714454"/>
      <w:r>
        <w:rPr>
          <w:sz w:val="24"/>
          <w:rFonts w:ascii="Times New Roman" w:hAnsi="Times New Roman"/>
        </w:rPr>
        <w:t xml:space="preserve">C 34.05 – </w:t>
      </w:r>
      <w:r>
        <w:rPr>
          <w:sz w:val="24"/>
          <w:i/>
          <w:iCs/>
          <w:rFonts w:ascii="Times New Roman" w:hAnsi="Times New Roman"/>
        </w:rPr>
        <w:t xml:space="preserve">CCR</w:t>
      </w:r>
      <w:r>
        <w:rPr>
          <w:sz w:val="24"/>
          <w:rFonts w:ascii="Times New Roman" w:hAnsi="Times New Roman"/>
        </w:rPr>
        <w:t xml:space="preserve"> riska darījumi pēc iekšējā modeļa metodes (IMM)</w:t>
      </w:r>
      <w:bookmarkEnd w:id="38"/>
      <w:bookmarkEnd w:id="39"/>
    </w:p>
    <w:p w14:paraId="055BB7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0" w:name="_Toc19715815"/>
      <w:bookmarkStart w:id="41" w:name="_Toc151714455"/>
      <w:r>
        <w:rPr>
          <w:sz w:val="24"/>
          <w:rFonts w:ascii="Times New Roman" w:hAnsi="Times New Roman"/>
        </w:rPr>
        <w:t xml:space="preserve">Norādes par konkrētām pozīcijām</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Slejas</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 xml:space="preserve">00010. – 0080.</w:t>
            </w:r>
          </w:p>
        </w:tc>
        <w:tc>
          <w:tcPr>
            <w:tcW w:w="7655" w:type="dxa"/>
            <w:vAlign w:val="center"/>
          </w:tcPr>
          <w:p w14:paraId="4E699B36" w14:textId="77777777" w:rsidR="00EF74C7" w:rsidRPr="002A677E" w:rsidRDefault="00EF74C7" w:rsidP="00822842">
            <w:pPr>
              <w:keepNext/>
              <w:spacing w:before="60"/>
              <w:rPr>
                <w:strike/>
                <w:sz w:val="24"/>
                <w:rFonts w:ascii="Times New Roman" w:hAnsi="Times New Roman"/>
              </w:rPr>
            </w:pPr>
            <w:r>
              <w:rPr>
                <w:rStyle w:val="InstructionsTabelleberschrift"/>
                <w:sz w:val="24"/>
                <w:rFonts w:ascii="Times New Roman" w:hAnsi="Times New Roman"/>
              </w:rPr>
              <w:t xml:space="preserve">AR DROŠĪBAS REZERVĒM</w:t>
            </w:r>
            <w:r>
              <w:rPr>
                <w:rStyle w:val="InstructionsTabelleberschrift"/>
                <w:sz w:val="24"/>
                <w:rFonts w:ascii="Times New Roman" w:hAnsi="Times New Roman"/>
              </w:rPr>
              <w:t xml:space="preserve"> </w:t>
            </w:r>
          </w:p>
          <w:p w14:paraId="4474340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Sk. norādes attiecībā uz C 34.02. veidnes 0130. rindu.</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 xml:space="preserve">0090. – 0160.</w:t>
            </w:r>
          </w:p>
        </w:tc>
        <w:tc>
          <w:tcPr>
            <w:tcW w:w="7655" w:type="dxa"/>
            <w:vAlign w:val="center"/>
          </w:tcPr>
          <w:p w14:paraId="77C0E439"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BEZ DROŠĪBAS REZERVĒM</w:t>
            </w:r>
            <w:r>
              <w:rPr>
                <w:rStyle w:val="InstructionsTabelleberschrift"/>
                <w:sz w:val="24"/>
                <w:rFonts w:ascii="Times New Roman" w:hAnsi="Times New Roman"/>
              </w:rPr>
              <w:t xml:space="preserve"> </w:t>
            </w:r>
          </w:p>
          <w:p w14:paraId="3E0059F7"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Sk. norādes attiecībā uz C 34.02. veidnes 0140. rindu.</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 xml:space="preserve">0010., 0090.</w:t>
            </w:r>
          </w:p>
        </w:tc>
        <w:tc>
          <w:tcPr>
            <w:tcW w:w="7655" w:type="dxa"/>
            <w:vAlign w:val="center"/>
          </w:tcPr>
          <w:p w14:paraId="10F9DAA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DARĪJUMU SKAITS</w:t>
            </w:r>
            <w:r>
              <w:rPr>
                <w:rStyle w:val="InstructionsTabelleberschrift"/>
                <w:sz w:val="24"/>
                <w:rFonts w:ascii="Times New Roman" w:hAnsi="Times New Roman"/>
              </w:rPr>
              <w:t xml:space="preserve"> </w:t>
            </w:r>
          </w:p>
          <w:p w14:paraId="5C4653C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Sk. norādes attiecībā uz C 34.02. veidnes 0020. sleju.</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 xml:space="preserve">0020., 0100.</w:t>
            </w:r>
          </w:p>
        </w:tc>
        <w:tc>
          <w:tcPr>
            <w:tcW w:w="7655" w:type="dxa"/>
            <w:vAlign w:val="center"/>
          </w:tcPr>
          <w:p w14:paraId="73CC08BF"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NOSACĪTĀS SUMMAS</w:t>
            </w:r>
            <w:r>
              <w:rPr>
                <w:rStyle w:val="InstructionsTabelleberschrift"/>
                <w:sz w:val="24"/>
                <w:rFonts w:ascii="Times New Roman" w:hAnsi="Times New Roman"/>
              </w:rPr>
              <w:t xml:space="preserve"> </w:t>
            </w:r>
          </w:p>
          <w:p w14:paraId="75787B39" w14:textId="77777777" w:rsidR="00EF74C7" w:rsidRPr="002A677E" w:rsidRDefault="00EF74C7" w:rsidP="00822842">
            <w:pPr>
              <w:keepNext/>
              <w:spacing w:before="60"/>
              <w:rPr>
                <w:i/>
                <w:strike/>
                <w:sz w:val="24"/>
                <w:rFonts w:ascii="Times New Roman" w:hAnsi="Times New Roman"/>
              </w:rPr>
            </w:pPr>
            <w:r>
              <w:rPr>
                <w:sz w:val="24"/>
                <w:rFonts w:ascii="Times New Roman" w:hAnsi="Times New Roman"/>
              </w:rPr>
              <w:t xml:space="preserve">Sk. norādes attiecībā uz C 34.02. veidnes 0030. sleju.</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 xml:space="preserve">0030., 0110.</w:t>
            </w:r>
          </w:p>
        </w:tc>
        <w:tc>
          <w:tcPr>
            <w:tcW w:w="7655" w:type="dxa"/>
            <w:vAlign w:val="center"/>
          </w:tcPr>
          <w:p w14:paraId="5D4ADBB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TIRGUS VĒRTĪBA (</w:t>
            </w:r>
            <w:r>
              <w:rPr>
                <w:rStyle w:val="InstructionsTabelleberschrift"/>
                <w:sz w:val="24"/>
                <w:i/>
                <w:iCs/>
                <w:rFonts w:ascii="Times New Roman" w:hAnsi="Times New Roman"/>
              </w:rPr>
              <w:t xml:space="preserve">CMV</w:t>
            </w:r>
            <w:r>
              <w:rPr>
                <w:rStyle w:val="InstructionsTabelleberschrift"/>
                <w:sz w:val="24"/>
                <w:rFonts w:ascii="Times New Roman" w:hAnsi="Times New Roman"/>
              </w:rPr>
              <w:t xml:space="preserve">), POZITĪVA</w:t>
            </w:r>
          </w:p>
          <w:p w14:paraId="1BDCFC6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Visu darījumu, kuru </w:t>
            </w:r>
            <w:r>
              <w:rPr>
                <w:sz w:val="24"/>
                <w:i/>
                <w:iCs/>
                <w:rFonts w:ascii="Times New Roman" w:hAnsi="Times New Roman"/>
              </w:rPr>
              <w:t xml:space="preserve">CMV</w:t>
            </w:r>
            <w:r>
              <w:rPr>
                <w:sz w:val="24"/>
                <w:rFonts w:ascii="Times New Roman" w:hAnsi="Times New Roman"/>
              </w:rPr>
              <w:t xml:space="preserve"> ir pozitīva, pašreizējo tirgus vērtību (</w:t>
            </w:r>
            <w:r>
              <w:rPr>
                <w:sz w:val="24"/>
                <w:i/>
                <w:iCs/>
                <w:rFonts w:ascii="Times New Roman" w:hAnsi="Times New Roman"/>
              </w:rPr>
              <w:t xml:space="preserve">CMV</w:t>
            </w:r>
            <w:r>
              <w:rPr>
                <w:sz w:val="24"/>
                <w:rFonts w:ascii="Times New Roman" w:hAnsi="Times New Roman"/>
              </w:rPr>
              <w:t xml:space="preserve">) summa, kuri pieder tai pašai aktīvu klasei.</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 xml:space="preserve">0040.,0120.</w:t>
            </w:r>
          </w:p>
        </w:tc>
        <w:tc>
          <w:tcPr>
            <w:tcW w:w="7655" w:type="dxa"/>
            <w:vAlign w:val="center"/>
          </w:tcPr>
          <w:p w14:paraId="06A034B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TIRGUS VĒRTĪBA (</w:t>
            </w:r>
            <w:r>
              <w:rPr>
                <w:rStyle w:val="InstructionsTabelleberschrift"/>
                <w:sz w:val="24"/>
                <w:i/>
                <w:iCs/>
                <w:rFonts w:ascii="Times New Roman" w:hAnsi="Times New Roman"/>
              </w:rPr>
              <w:t xml:space="preserve">CMV</w:t>
            </w:r>
            <w:r>
              <w:rPr>
                <w:rStyle w:val="InstructionsTabelleberschrift"/>
                <w:sz w:val="24"/>
                <w:rFonts w:ascii="Times New Roman" w:hAnsi="Times New Roman"/>
              </w:rPr>
              <w:t xml:space="preserve">), NEGATĪVA</w:t>
            </w:r>
          </w:p>
          <w:p w14:paraId="4B126FBF"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Visu darījumu, kuru </w:t>
            </w:r>
            <w:r>
              <w:rPr>
                <w:sz w:val="24"/>
                <w:i/>
                <w:iCs/>
                <w:rFonts w:ascii="Times New Roman" w:hAnsi="Times New Roman"/>
              </w:rPr>
              <w:t xml:space="preserve">CMV</w:t>
            </w:r>
            <w:r>
              <w:rPr>
                <w:sz w:val="24"/>
                <w:rFonts w:ascii="Times New Roman" w:hAnsi="Times New Roman"/>
              </w:rPr>
              <w:t xml:space="preserve"> ir negatīva, absolūto pašreizējo tirgus vērtību (</w:t>
            </w:r>
            <w:r>
              <w:rPr>
                <w:sz w:val="24"/>
                <w:i/>
                <w:iCs/>
                <w:rFonts w:ascii="Times New Roman" w:hAnsi="Times New Roman"/>
              </w:rPr>
              <w:t xml:space="preserve">CMV</w:t>
            </w:r>
            <w:r>
              <w:rPr>
                <w:sz w:val="24"/>
                <w:rFonts w:ascii="Times New Roman" w:hAnsi="Times New Roman"/>
              </w:rPr>
              <w:t xml:space="preserve">) summa, kuri pieder tai pašai aktīvu klasei.</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 xml:space="preserve">0050.,0130.</w:t>
            </w:r>
          </w:p>
        </w:tc>
        <w:tc>
          <w:tcPr>
            <w:tcW w:w="7655" w:type="dxa"/>
            <w:vAlign w:val="center"/>
          </w:tcPr>
          <w:p w14:paraId="6BEF0650"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PAŠREIZĒJĀ RISKA DARĪJUMU VĒRTĪBA</w:t>
            </w:r>
          </w:p>
          <w:p w14:paraId="4BD20CD9"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Sk. norādes attiecībā uz C 34.02. veidnes 0120. sleju.</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 xml:space="preserve">0060.,0140.</w:t>
            </w:r>
          </w:p>
        </w:tc>
        <w:tc>
          <w:tcPr>
            <w:tcW w:w="7655" w:type="dxa"/>
            <w:vAlign w:val="center"/>
          </w:tcPr>
          <w:p w14:paraId="5F8AFE0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EFEKTĪVĀ SAGAIDĀMĀ POZITĪVĀ RISKA DARĪJUMU VĒRTĪBA (</w:t>
            </w:r>
            <w:r>
              <w:rPr>
                <w:rStyle w:val="InstructionsTabelleberschrift"/>
                <w:sz w:val="24"/>
                <w:i/>
                <w:iCs/>
                <w:rFonts w:ascii="Times New Roman" w:hAnsi="Times New Roman"/>
              </w:rPr>
              <w:t xml:space="preserve">EEPE</w:t>
            </w:r>
            <w:r>
              <w:rPr>
                <w:rStyle w:val="InstructionsTabelleberschrift"/>
                <w:sz w:val="24"/>
                <w:rFonts w:ascii="Times New Roman" w:hAnsi="Times New Roman"/>
              </w:rPr>
              <w:t xml:space="preserve">)</w:t>
            </w:r>
          </w:p>
          <w:p w14:paraId="72409BA6" w14:textId="77777777" w:rsidR="00EF74C7" w:rsidRPr="002A677E" w:rsidRDefault="00EF74C7" w:rsidP="00822842">
            <w:pPr>
              <w:pStyle w:val="Default"/>
              <w:spacing w:after="120"/>
              <w:jc w:val="both"/>
              <w:rPr>
                <w:strike/>
                <w:color w:val="auto"/>
                <w:rFonts w:ascii="Times New Roman" w:hAnsi="Times New Roman" w:cs="Times New Roman"/>
              </w:rPr>
            </w:pPr>
            <w:r>
              <w:rPr>
                <w:color w:val="auto"/>
                <w:rFonts w:ascii="Times New Roman" w:hAnsi="Times New Roman"/>
              </w:rPr>
              <w:t xml:space="preserve">Sk. norādes attiecībā uz C 34.02. veidnes 0130. sleju.</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 xml:space="preserve">0070.,0150.</w:t>
            </w:r>
          </w:p>
        </w:tc>
        <w:tc>
          <w:tcPr>
            <w:tcW w:w="7655" w:type="dxa"/>
            <w:vAlign w:val="center"/>
          </w:tcPr>
          <w:p w14:paraId="0290C6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i/>
                <w:iCs/>
                <w:rFonts w:ascii="Times New Roman" w:hAnsi="Times New Roman"/>
              </w:rPr>
              <w:t xml:space="preserve">EEPE</w:t>
            </w:r>
            <w:r>
              <w:rPr>
                <w:rStyle w:val="InstructionsTabelleberschrift"/>
                <w:sz w:val="24"/>
                <w:rFonts w:ascii="Times New Roman" w:hAnsi="Times New Roman"/>
              </w:rPr>
              <w:t xml:space="preserve"> AR STRESA KALIBRĒŠANU</w:t>
            </w:r>
          </w:p>
          <w:p w14:paraId="071BB18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284. panta 6. punkts un 292. panta 2. punkts</w:t>
            </w:r>
          </w:p>
          <w:p w14:paraId="4C777000" w14:textId="77777777" w:rsidR="00EF74C7" w:rsidRPr="002A677E" w:rsidRDefault="00EF74C7" w:rsidP="00822842">
            <w:pPr>
              <w:keepNext/>
              <w:spacing w:before="60"/>
              <w:rPr>
                <w:sz w:val="24"/>
                <w:rFonts w:ascii="Times New Roman" w:hAnsi="Times New Roman"/>
              </w:rPr>
            </w:pPr>
            <w:r>
              <w:rPr>
                <w:sz w:val="24"/>
                <w:i/>
                <w:iCs/>
                <w:rFonts w:ascii="Times New Roman" w:hAnsi="Times New Roman"/>
              </w:rPr>
              <w:t xml:space="preserve">EEPE</w:t>
            </w:r>
            <w:r>
              <w:rPr>
                <w:sz w:val="24"/>
                <w:rFonts w:ascii="Times New Roman" w:hAnsi="Times New Roman"/>
              </w:rPr>
              <w:t xml:space="preserve"> ar stresa kalibrēšanu aprēķina tāpat kā </w:t>
            </w:r>
            <w:r>
              <w:rPr>
                <w:sz w:val="24"/>
                <w:i/>
                <w:iCs/>
                <w:rFonts w:ascii="Times New Roman" w:hAnsi="Times New Roman"/>
              </w:rPr>
              <w:t xml:space="preserve">EEPE</w:t>
            </w:r>
            <w:r>
              <w:rPr>
                <w:sz w:val="24"/>
                <w:rFonts w:ascii="Times New Roman" w:hAnsi="Times New Roman"/>
              </w:rPr>
              <w:t xml:space="preserve"> (Regulas (ES) Nr. 575/2013 284. panta 6. punkts), bet izmanto stresa kalibrēšanu saskaņā ar Regulas (ES) Nr. 575/2013 292. panta 2. punktu.</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 xml:space="preserve">0080., 0160.,0170.</w:t>
            </w:r>
          </w:p>
        </w:tc>
        <w:tc>
          <w:tcPr>
            <w:tcW w:w="7655" w:type="dxa"/>
            <w:vAlign w:val="center"/>
          </w:tcPr>
          <w:p w14:paraId="38883B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RISKA DARĪJUMU VĒRTĪBA</w:t>
            </w:r>
          </w:p>
          <w:p w14:paraId="5D5537F3"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Sk. norādes attiecībā uz C 34.02. veidnes 0170. sleju.</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Rinda</w:t>
            </w:r>
            <w:r>
              <w:rPr>
                <w:b/>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Skaidrojums</w:t>
            </w:r>
            <w:r>
              <w:rPr>
                <w:b/>
                <w:sz w:val="24"/>
                <w:rFonts w:ascii="Times New Roman" w:hAnsi="Times New Roman"/>
              </w:rPr>
              <w:t xml:space="preserve">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 xml:space="preserve">0010.</w:t>
            </w:r>
          </w:p>
        </w:tc>
        <w:tc>
          <w:tcPr>
            <w:tcW w:w="7655" w:type="dxa"/>
          </w:tcPr>
          <w:p w14:paraId="155D9C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KOPĀ</w:t>
            </w:r>
            <w:r>
              <w:rPr>
                <w:rStyle w:val="InstructionsTabelleberschrift"/>
                <w:sz w:val="24"/>
                <w:rFonts w:ascii="Times New Roman" w:hAnsi="Times New Roman"/>
              </w:rPr>
              <w:t xml:space="preserve"> </w:t>
            </w:r>
          </w:p>
          <w:p w14:paraId="43496D3B" w14:textId="77777777" w:rsidR="00EF74C7" w:rsidRPr="002A677E" w:rsidRDefault="00EF74C7" w:rsidP="00822842">
            <w:pPr>
              <w:keepNext/>
              <w:spacing w:before="60"/>
              <w:rPr>
                <w:sz w:val="24"/>
              </w:rPr>
            </w:pPr>
            <w:r>
              <w:rPr>
                <w:sz w:val="24"/>
                <w:rFonts w:ascii="Times New Roman" w:hAnsi="Times New Roman"/>
              </w:rPr>
              <w:t xml:space="preserve">Regulas (ES) Nr. 575/2013 283. pants</w:t>
            </w:r>
          </w:p>
          <w:p w14:paraId="72F05A01" w14:textId="77777777" w:rsidR="00EF74C7" w:rsidRPr="002A677E" w:rsidRDefault="00EF74C7" w:rsidP="00822842">
            <w:pPr>
              <w:rPr>
                <w:sz w:val="24"/>
              </w:rPr>
            </w:pPr>
            <w:r>
              <w:rPr>
                <w:sz w:val="24"/>
                <w:rFonts w:ascii="Times New Roman" w:hAnsi="Times New Roman"/>
              </w:rPr>
              <w:t xml:space="preserve">Iestāde uzrāda būtisko informāciju par atvasinātajiem instrumentiem, ilgstošo norēķinu darījumiem un VFD, attiecībā uz kuriem tai ir atļauts noteikt riska darījumu vērtību, kas aprēķināta, izmantojot iekšējā modeļa metodi (IMM) saskaņā ar Regulas (ES) Nr. 575/2013 283. pantu.</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 xml:space="preserve">0020.</w:t>
            </w:r>
          </w:p>
        </w:tc>
        <w:tc>
          <w:tcPr>
            <w:tcW w:w="7655" w:type="dxa"/>
          </w:tcPr>
          <w:p w14:paraId="0331298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No kā:</w:t>
            </w:r>
            <w:r>
              <w:rPr>
                <w:rStyle w:val="InstructionsTabelleberschrift"/>
                <w:sz w:val="24"/>
                <w:rFonts w:ascii="Times New Roman" w:hAnsi="Times New Roman"/>
              </w:rPr>
              <w:t xml:space="preserve"> </w:t>
            </w:r>
            <w:r>
              <w:rPr>
                <w:rStyle w:val="InstructionsTabelleberschrift"/>
                <w:sz w:val="24"/>
                <w:i/>
                <w:iCs/>
                <w:rFonts w:ascii="Times New Roman" w:hAnsi="Times New Roman"/>
              </w:rPr>
              <w:t xml:space="preserve">SWWR</w:t>
            </w:r>
            <w:r>
              <w:rPr>
                <w:rStyle w:val="InstructionsTabelleberschrift"/>
                <w:sz w:val="24"/>
                <w:rFonts w:ascii="Times New Roman" w:hAnsi="Times New Roman"/>
              </w:rPr>
              <w:t xml:space="preserve"> pozīcijas</w:t>
            </w:r>
          </w:p>
          <w:p w14:paraId="1013C757" w14:textId="77777777" w:rsidR="00EF74C7" w:rsidRPr="002A677E" w:rsidRDefault="00EF74C7" w:rsidP="00822842">
            <w:pPr>
              <w:rPr>
                <w:sz w:val="24"/>
                <w:rFonts w:ascii="Times New Roman" w:hAnsi="Times New Roman"/>
              </w:rPr>
            </w:pPr>
            <w:r>
              <w:rPr>
                <w:sz w:val="24"/>
                <w:rFonts w:ascii="Times New Roman" w:hAnsi="Times New Roman"/>
              </w:rPr>
              <w:t xml:space="preserve">Sk. norādes attiecībā uz C 34.02. veidnes 0120. sleju.</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 xml:space="preserve">0030.</w:t>
            </w:r>
          </w:p>
        </w:tc>
        <w:tc>
          <w:tcPr>
            <w:tcW w:w="7655" w:type="dxa"/>
          </w:tcPr>
          <w:p w14:paraId="5DE0314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Savstarpējo prasījumu ieskaita kopas, kurām piemērota CR standartizētā pieeja</w:t>
            </w:r>
          </w:p>
          <w:p w14:paraId="7CD0087F"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Sk. norādes attiecībā uz C 34.02. veidnes 0180. sleju.</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 xml:space="preserve">0040.</w:t>
            </w:r>
          </w:p>
        </w:tc>
        <w:tc>
          <w:tcPr>
            <w:tcW w:w="7655" w:type="dxa"/>
          </w:tcPr>
          <w:p w14:paraId="79702292"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Savstarpējo prasījumu ieskaita kopas, kurām piemērota CR IRB pieeja</w:t>
            </w:r>
          </w:p>
          <w:p w14:paraId="5DEB3BFD"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Sk. norādes attiecībā uz C 34.02. veidnes 0190. sleju.</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 xml:space="preserve">0050.-0110.</w:t>
            </w:r>
          </w:p>
        </w:tc>
        <w:tc>
          <w:tcPr>
            <w:tcW w:w="7655" w:type="dxa"/>
          </w:tcPr>
          <w:p w14:paraId="3D695FB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ĀRPUSBIRŽAS ATVASINĀTIE INSTRUMENTI</w:t>
            </w:r>
          </w:p>
          <w:p w14:paraId="0E8A5849" w14:textId="77777777" w:rsidR="00EF74C7" w:rsidRPr="002A677E" w:rsidRDefault="00EF74C7" w:rsidP="00822842">
            <w:pPr>
              <w:rPr>
                <w:sz w:val="24"/>
                <w:rFonts w:ascii="Times New Roman" w:hAnsi="Times New Roman"/>
              </w:rPr>
            </w:pPr>
            <w:r>
              <w:rPr>
                <w:sz w:val="24"/>
                <w:rFonts w:ascii="Times New Roman" w:hAnsi="Times New Roman"/>
              </w:rPr>
              <w:t xml:space="preserve">Iestāde uzrāda būtisko informāciju par savstarpējo prasījumu ieskaita kopām, kurās ietverti tikai ārpusbiržas atvasināto instrumentu vai ilgstošo norēķinu darījumi, attiecībā uz kuriem tai ir atļauts noteikt riska darījumu vērtību, izmantojot IMM, sadalījumā pa dažādām aktīvu klasēm attiecībā uz pamatā esošo instrumentu (procentu likmes, ārvalstu valūtas, kredīts, kapitāla vērtspapīri, preces vai citi).</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 xml:space="preserve">0120. – 0180.</w:t>
            </w:r>
          </w:p>
        </w:tc>
        <w:tc>
          <w:tcPr>
            <w:tcW w:w="7655" w:type="dxa"/>
          </w:tcPr>
          <w:p w14:paraId="1F81FD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BIRŽĀ TIRGOTIE ATVASINĀTIE INSTRUMENTI</w:t>
            </w:r>
          </w:p>
          <w:p w14:paraId="58D9B48E" w14:textId="77777777" w:rsidR="00EF74C7" w:rsidRPr="002A677E" w:rsidRDefault="00EF74C7" w:rsidP="00822842">
            <w:pPr>
              <w:rPr>
                <w:sz w:val="24"/>
                <w:rFonts w:ascii="Times New Roman" w:hAnsi="Times New Roman"/>
              </w:rPr>
            </w:pPr>
            <w:r>
              <w:rPr>
                <w:sz w:val="24"/>
                <w:rFonts w:ascii="Times New Roman" w:hAnsi="Times New Roman"/>
              </w:rPr>
              <w:t xml:space="preserve">Iestāde uzrāda būtisko informāciju par savstarpējo prasījumu ieskaita kopām, kurās ietverti tikai biržā tirgotie atvasinātie instrumenti vai ilgstošo norēķinu darījumi, attiecībā uz kuriem tai ir atļauts noteikt riska darījumu vērtību, izmantojot IMM, sadalījumā pa dažādām aktīvu klasēm attiecībā uz pamatā esošo instrumentu (procentu likmes, ārvalstu valūtas, kredīts, kapitāla vērtspapīri, preces vai citi).</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 xml:space="preserve">0190. – 0220.</w:t>
            </w:r>
          </w:p>
        </w:tc>
        <w:tc>
          <w:tcPr>
            <w:tcW w:w="7655" w:type="dxa"/>
          </w:tcPr>
          <w:p w14:paraId="52D3A7C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VĒRTSPAPĪRU FINANSĒŠANAS DARĪJUMI</w:t>
            </w:r>
          </w:p>
          <w:p w14:paraId="1CD88A29" w14:textId="77777777" w:rsidR="00EF74C7" w:rsidRPr="002A677E" w:rsidRDefault="00EF74C7" w:rsidP="00822842">
            <w:pPr>
              <w:rPr>
                <w:sz w:val="24"/>
                <w:rFonts w:ascii="Times New Roman" w:hAnsi="Times New Roman"/>
              </w:rPr>
            </w:pPr>
            <w:r>
              <w:rPr>
                <w:sz w:val="24"/>
                <w:rFonts w:ascii="Times New Roman" w:hAnsi="Times New Roman"/>
              </w:rPr>
              <w:t xml:space="preserve">Iestāde uzrāda būtisko informāciju par savstarpējo prasījumu ieskaita kopām, kurās ietverti tika VFD, attiecībā uz kuriem tai ir atļauts noteikt riska darījumu vērtību, izmantojot IMM, sadalījumā pa pamatā esošā instrumenta veidiem VFD vērtspapīru pozīcijā (obligācijas, kapitāla vērtspapīri vai citi).</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 xml:space="preserve">0230.</w:t>
            </w:r>
          </w:p>
        </w:tc>
        <w:tc>
          <w:tcPr>
            <w:tcW w:w="7655" w:type="dxa"/>
          </w:tcPr>
          <w:p w14:paraId="1980D95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DAŽĀDU PRODUKTU SAVSTARPĒJO PRASĪJUMU LĪGUMISKĀ IESKAITA KOPAS</w:t>
            </w:r>
          </w:p>
          <w:p w14:paraId="7F1F09BD" w14:textId="77777777" w:rsidR="00EF74C7" w:rsidRPr="002A677E" w:rsidRDefault="00EF74C7" w:rsidP="00822842">
            <w:pPr>
              <w:rPr>
                <w:sz w:val="24"/>
                <w:rFonts w:ascii="Times New Roman" w:hAnsi="Times New Roman"/>
              </w:rPr>
            </w:pPr>
            <w:r>
              <w:rPr>
                <w:sz w:val="24"/>
                <w:rFonts w:ascii="Times New Roman" w:hAnsi="Times New Roman"/>
              </w:rPr>
              <w:t xml:space="preserve">Sk. norādes attiecībā uz C 34.02. veidnes 0070. sleju.</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2" w:name="_Toc19715816"/>
      <w:bookmarkStart w:id="43" w:name="_Toc151714456"/>
      <w:r>
        <w:rPr>
          <w:sz w:val="24"/>
          <w:rFonts w:ascii="Times New Roman" w:hAnsi="Times New Roman"/>
        </w:rPr>
        <w:t xml:space="preserve">C 34.06. – Divdesmit lielākie darījuma partneri</w:t>
      </w:r>
      <w:bookmarkEnd w:id="42"/>
      <w:bookmarkEnd w:id="43"/>
    </w:p>
    <w:p w14:paraId="41D5F70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4" w:name="_Toc19715817"/>
      <w:bookmarkStart w:id="45" w:name="_Toc151714457"/>
      <w:r>
        <w:rPr>
          <w:sz w:val="24"/>
          <w:rFonts w:ascii="Times New Roman" w:hAnsi="Times New Roman"/>
        </w:rPr>
        <w:t xml:space="preserve">Vispārīgas piezīmes</w:t>
      </w:r>
      <w:bookmarkEnd w:id="44"/>
      <w:bookmarkEnd w:id="45"/>
    </w:p>
    <w:p w14:paraId="4872503C" w14:textId="005C8DB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126</w:t>
      </w:r>
      <w:r>
        <w:fldChar w:fldCharType="end"/>
      </w:r>
      <w:r>
        <w:t xml:space="preserve">.</w:t>
      </w:r>
      <w:r>
        <w:t xml:space="preserve"> </w:t>
      </w:r>
      <w:r>
        <w:t xml:space="preserve">Iestādes uzrāda informāciju par pirmajiem 20 darījumu partneriem, ar kuriem tai ir vislielākie </w:t>
      </w:r>
      <w:r>
        <w:rPr>
          <w:i/>
          <w:iCs/>
        </w:rPr>
        <w:t xml:space="preserve">CCR</w:t>
      </w:r>
      <w:r>
        <w:t xml:space="preserve"> riska darījumi.</w:t>
      </w:r>
      <w:r>
        <w:t xml:space="preserve"> </w:t>
      </w:r>
      <w:r>
        <w:t xml:space="preserve">Darījumu partnerus sarindo, izmantojot šīs veidnes 0120. slejā uzrādītās </w:t>
      </w:r>
      <w:r>
        <w:rPr>
          <w:i/>
          <w:iCs/>
        </w:rPr>
        <w:t xml:space="preserve">CC</w:t>
      </w:r>
      <w:r>
        <w:t xml:space="preserve">R riska darījumu vērtības, kuras izriet no savstarpējo prasījumu ieskaita kopām ar attiecīgajiem darījumu partneriem.</w:t>
      </w:r>
      <w:r>
        <w:t xml:space="preserve"> </w:t>
      </w:r>
      <w:r>
        <w:t xml:space="preserve">Grupas riska darījumus vai citus riska darījumus, kas izraisa darījuma partnera kredītrisku, bet kuriem iestādes piešķir riska svērumu nulles apmērā attiecībā uz pašu kapitāla prasību aprēķināšanu saskaņā ar Regulas (ES) Nr. 575/2013 113. panta 6. un 7. punktu, joprojām ņem vērā, nosakot pirmo 20 darījuma partneru sarakstu.</w:t>
      </w:r>
    </w:p>
    <w:p w14:paraId="647CEA55" w14:textId="4D26183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127</w:t>
      </w:r>
      <w:r>
        <w:fldChar w:fldCharType="end"/>
      </w:r>
      <w:r>
        <w:t xml:space="preserve">.</w:t>
      </w:r>
      <w:r>
        <w:t xml:space="preserve"> </w:t>
      </w:r>
      <w:r>
        <w:t xml:space="preserve">Iestādes, kuras </w:t>
      </w:r>
      <w:r>
        <w:rPr>
          <w:i/>
          <w:iCs/>
        </w:rPr>
        <w:t xml:space="preserve">CCR</w:t>
      </w:r>
      <w:r>
        <w:t xml:space="preserve"> riska darījumu aprēķināšanai, ievērojot Regulas (ES) Nr. 575/2013 Trešās daļas II sadaļas 6. nodaļas 3. un 6. iedaļu, izmanto standartizēto pieeju (</w:t>
      </w:r>
      <w:r>
        <w:rPr>
          <w:i/>
          <w:iCs/>
        </w:rPr>
        <w:t xml:space="preserve">SA-CRR</w:t>
      </w:r>
      <w:r>
        <w:t xml:space="preserve">) vai iekšējā modeļa metodi (IMM), uzrāda šo veidni ik ceturksni.</w:t>
      </w:r>
      <w:r>
        <w:t xml:space="preserve"> </w:t>
      </w:r>
      <w:r>
        <w:t xml:space="preserve">Iestādes, kuras </w:t>
      </w:r>
      <w:r>
        <w:rPr>
          <w:i/>
          <w:iCs/>
        </w:rPr>
        <w:t xml:space="preserve">CCR</w:t>
      </w:r>
      <w:r>
        <w:t xml:space="preserve"> riska darījumu aprēķināšanai, ievērojot Regulas (ES) Nr. 575/2013 Trešās daļas II sadaļas 6. nodaļas 4. un 5. iedaļu, izmanto vienkāršoto standartizēto pieeju vai sākotnējās darījumu vērtības metodi (</w:t>
      </w:r>
      <w:r>
        <w:rPr>
          <w:i/>
          <w:iCs/>
        </w:rPr>
        <w:t xml:space="preserve">OEM</w:t>
      </w:r>
      <w:r>
        <w:t xml:space="preserve">), uzrāda šo veidni reizi pusgadā.</w:t>
      </w:r>
      <w:r>
        <w:t xml:space="preserve"> </w:t>
      </w:r>
      <w:bookmarkStart w:id="46" w:name="_Toc19715818"/>
      <w:r>
        <w:t xml:space="preserve">Norādes par konkrētām pozīcijām</w:t>
      </w:r>
      <w:bookmarkEnd w:id="46"/>
      <w:r>
        <w:t xml:space="preserve">.</w:t>
      </w:r>
    </w:p>
    <w:p w14:paraId="2736A53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7" w:name="_Toc151714458"/>
      <w:r>
        <w:rPr>
          <w:sz w:val="24"/>
          <w:rFonts w:ascii="Times New Roman" w:hAnsi="Times New Roman"/>
        </w:rPr>
        <w:t xml:space="preserve">Norādes par konkrētām pozīcijām</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Slejas</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 xml:space="preserve">0011.</w:t>
            </w:r>
          </w:p>
        </w:tc>
        <w:tc>
          <w:tcPr>
            <w:tcW w:w="7655" w:type="dxa"/>
            <w:vAlign w:val="center"/>
          </w:tcPr>
          <w:p w14:paraId="214583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NOSAUKUMS</w:t>
            </w:r>
          </w:p>
          <w:p w14:paraId="02D41CBA" w14:textId="77777777" w:rsidR="00EF74C7" w:rsidRPr="002A677E" w:rsidRDefault="00EF74C7" w:rsidP="00822842">
            <w:pPr>
              <w:keepNext/>
              <w:spacing w:before="60"/>
              <w:rPr>
                <w:szCs w:val="22"/>
                <w:rFonts w:ascii="Times New Roman" w:hAnsi="Times New Roman"/>
              </w:rPr>
            </w:pPr>
            <w:r>
              <w:rPr>
                <w:sz w:val="24"/>
                <w:rFonts w:ascii="Times New Roman" w:hAnsi="Times New Roman"/>
              </w:rPr>
              <w:t xml:space="preserve">Darījuma partnera nosaukums</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 xml:space="preserve">0020.</w:t>
            </w:r>
          </w:p>
        </w:tc>
        <w:tc>
          <w:tcPr>
            <w:tcW w:w="7655" w:type="dxa"/>
            <w:vAlign w:val="center"/>
          </w:tcPr>
          <w:p w14:paraId="6CCE0F62"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KODS</w:t>
            </w:r>
          </w:p>
          <w:p w14:paraId="38310236" w14:textId="77777777" w:rsidR="00EF74C7" w:rsidRPr="002A677E" w:rsidRDefault="00EF74C7" w:rsidP="00822842">
            <w:pPr>
              <w:keepNext/>
              <w:spacing w:before="60"/>
              <w:rPr>
                <w:sz w:val="24"/>
                <w:u w:val="single"/>
                <w:rFonts w:ascii="Times New Roman" w:hAnsi="Times New Roman"/>
              </w:rPr>
            </w:pPr>
            <w:r>
              <w:rPr>
                <w:sz w:val="24"/>
                <w:rFonts w:ascii="Times New Roman" w:hAnsi="Times New Roman"/>
              </w:rPr>
              <w:t xml:space="preserve">Kodam, kas ir daļa no rindu identifikatora, jābūt unikālam attiecībā uz katru uzrādīto sabiedrību.</w:t>
            </w:r>
            <w:r>
              <w:rPr>
                <w:sz w:val="24"/>
                <w:rFonts w:ascii="Times New Roman" w:hAnsi="Times New Roman"/>
              </w:rPr>
              <w:t xml:space="preserve"> </w:t>
            </w:r>
            <w:r>
              <w:rPr>
                <w:sz w:val="24"/>
                <w:rFonts w:ascii="Times New Roman" w:hAnsi="Times New Roman"/>
              </w:rPr>
              <w:t xml:space="preserve">Iestādēm un apdrošināšanas sabiedrībām šis kods ir </w:t>
            </w:r>
            <w:r>
              <w:rPr>
                <w:sz w:val="24"/>
                <w:i/>
                <w:iCs/>
                <w:rFonts w:ascii="Times New Roman" w:hAnsi="Times New Roman"/>
              </w:rPr>
              <w:t xml:space="preserve">LEI</w:t>
            </w:r>
            <w:r>
              <w:rPr>
                <w:sz w:val="24"/>
                <w:rFonts w:ascii="Times New Roman" w:hAnsi="Times New Roman"/>
              </w:rPr>
              <w:t xml:space="preserve"> kods.</w:t>
            </w:r>
            <w:r>
              <w:rPr>
                <w:sz w:val="24"/>
                <w:rFonts w:ascii="Times New Roman" w:hAnsi="Times New Roman"/>
              </w:rPr>
              <w:t xml:space="preserve"> </w:t>
            </w:r>
            <w:r>
              <w:rPr>
                <w:sz w:val="24"/>
                <w:rFonts w:ascii="Times New Roman" w:hAnsi="Times New Roman"/>
              </w:rPr>
              <w:t xml:space="preserve">Citām sabiedrībām šis kods ir </w:t>
            </w:r>
            <w:r>
              <w:rPr>
                <w:sz w:val="24"/>
                <w:i/>
                <w:iCs/>
                <w:rFonts w:ascii="Times New Roman" w:hAnsi="Times New Roman"/>
              </w:rPr>
              <w:t xml:space="preserve">LEI</w:t>
            </w:r>
            <w:r>
              <w:rPr>
                <w:sz w:val="24"/>
                <w:rFonts w:ascii="Times New Roman" w:hAnsi="Times New Roman"/>
              </w:rPr>
              <w:t xml:space="preserve"> kods vai, ja tas nav pieejams, tad kods, kas nav </w:t>
            </w:r>
            <w:r>
              <w:rPr>
                <w:sz w:val="24"/>
                <w:i/>
                <w:iCs/>
                <w:rFonts w:ascii="Times New Roman" w:hAnsi="Times New Roman"/>
              </w:rPr>
              <w:t xml:space="preserve">LEI</w:t>
            </w:r>
            <w:r>
              <w:rPr>
                <w:sz w:val="24"/>
                <w:rFonts w:ascii="Times New Roman" w:hAnsi="Times New Roman"/>
              </w:rPr>
              <w:t xml:space="preserve"> kods.</w:t>
            </w:r>
            <w:r>
              <w:rPr>
                <w:sz w:val="24"/>
                <w:rFonts w:ascii="Times New Roman" w:hAnsi="Times New Roman"/>
              </w:rPr>
              <w:t xml:space="preserve"> </w:t>
            </w:r>
            <w:r>
              <w:rPr>
                <w:sz w:val="24"/>
                <w:rFonts w:ascii="Times New Roman" w:hAnsi="Times New Roman"/>
              </w:rPr>
              <w:t xml:space="preserve">Šis kods ir unikāls, un to izmanto konsekventi visās veidnēs un visos laikos.</w:t>
            </w:r>
            <w:r>
              <w:rPr>
                <w:sz w:val="24"/>
                <w:rFonts w:ascii="Times New Roman" w:hAnsi="Times New Roman"/>
              </w:rPr>
              <w:t xml:space="preserve"> </w:t>
            </w:r>
            <w:r>
              <w:rPr>
                <w:sz w:val="24"/>
                <w:rFonts w:ascii="Times New Roman" w:hAnsi="Times New Roman"/>
              </w:rPr>
              <w:t xml:space="preserve">Šis kods vienmēr apzīmē kādu vērtību.</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 xml:space="preserve">0030.</w:t>
            </w:r>
          </w:p>
        </w:tc>
        <w:tc>
          <w:tcPr>
            <w:tcW w:w="7655" w:type="dxa"/>
            <w:vAlign w:val="center"/>
          </w:tcPr>
          <w:p w14:paraId="0F71916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KODA VEIDS</w:t>
            </w:r>
          </w:p>
          <w:p w14:paraId="12E4A55E" w14:textId="77777777" w:rsidR="00EF74C7" w:rsidRPr="002A677E" w:rsidRDefault="00EF74C7" w:rsidP="00822842">
            <w:pPr>
              <w:rPr>
                <w:rStyle w:val="FormatvorlageInstructionsTabelleText"/>
                <w:rFonts w:ascii="Calibri" w:hAnsi="Calibri" w:cs="Calibri"/>
              </w:rPr>
            </w:pPr>
            <w:r>
              <w:rPr>
                <w:sz w:val="24"/>
                <w:rFonts w:ascii="Times New Roman" w:hAnsi="Times New Roman"/>
              </w:rPr>
              <w:t xml:space="preserve">Iestāde identificē 0020. slejā uzrādīto kodu kā “</w:t>
            </w:r>
            <w:r>
              <w:rPr>
                <w:sz w:val="24"/>
                <w:i/>
                <w:iCs/>
                <w:rFonts w:ascii="Times New Roman" w:hAnsi="Times New Roman"/>
              </w:rPr>
              <w:t xml:space="preserve">LEI</w:t>
            </w:r>
            <w:r>
              <w:rPr>
                <w:sz w:val="24"/>
                <w:rFonts w:ascii="Times New Roman" w:hAnsi="Times New Roman"/>
              </w:rPr>
              <w:t xml:space="preserve"> kods’ vai ‘Valsts kods”.</w:t>
            </w:r>
          </w:p>
          <w:p w14:paraId="68A8C569" w14:textId="77777777" w:rsidR="00EF74C7" w:rsidRPr="002A677E" w:rsidRDefault="00EF74C7" w:rsidP="00822842">
            <w:pPr>
              <w:rPr>
                <w:bCs/>
                <w:sz w:val="24"/>
                <w:rFonts w:ascii="Times New Roman" w:hAnsi="Times New Roman"/>
              </w:rPr>
            </w:pPr>
            <w:r>
              <w:rPr>
                <w:sz w:val="24"/>
                <w:rFonts w:ascii="Times New Roman" w:hAnsi="Times New Roman"/>
              </w:rPr>
              <w:t xml:space="preserve">Koda veids ir jāuzrāda vienmēr.</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 xml:space="preserve">0035.</w:t>
            </w:r>
          </w:p>
        </w:tc>
        <w:tc>
          <w:tcPr>
            <w:tcW w:w="7655" w:type="dxa"/>
            <w:vAlign w:val="center"/>
          </w:tcPr>
          <w:p w14:paraId="6012FDE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VALSTS KODS</w:t>
            </w:r>
          </w:p>
          <w:p w14:paraId="53A43075" w14:textId="77777777" w:rsidR="00EF74C7" w:rsidRPr="002A677E" w:rsidRDefault="00EF74C7" w:rsidP="00822842">
            <w:pPr>
              <w:pStyle w:val="ListParagraph"/>
              <w:ind w:left="65"/>
              <w:rPr>
                <w:b/>
                <w:sz w:val="24"/>
                <w:u w:val="single"/>
                <w:rFonts w:ascii="Times New Roman" w:hAnsi="Times New Roman"/>
              </w:rPr>
            </w:pPr>
            <w:r>
              <w:rPr>
                <w:sz w:val="24"/>
                <w:rFonts w:ascii="Times New Roman" w:hAnsi="Times New Roman"/>
              </w:rPr>
              <w:t xml:space="preserve">Iestāde, kā identifikatoru uzrādot </w:t>
            </w:r>
            <w:r>
              <w:rPr>
                <w:sz w:val="24"/>
                <w:i/>
                <w:iCs/>
                <w:rFonts w:ascii="Times New Roman" w:hAnsi="Times New Roman"/>
              </w:rPr>
              <w:t xml:space="preserve">LEI</w:t>
            </w:r>
            <w:r>
              <w:rPr>
                <w:sz w:val="24"/>
                <w:rFonts w:ascii="Times New Roman" w:hAnsi="Times New Roman"/>
              </w:rPr>
              <w:t xml:space="preserve"> kodu 0020. slejā “Kods”, var papildus uzrādīt valsts kodu.</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 xml:space="preserve">0040.</w:t>
            </w:r>
          </w:p>
        </w:tc>
        <w:tc>
          <w:tcPr>
            <w:tcW w:w="7655" w:type="dxa"/>
            <w:vAlign w:val="center"/>
          </w:tcPr>
          <w:p w14:paraId="2A302176"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DARĪJUMU PARTNERA SEKTORS</w:t>
            </w:r>
          </w:p>
          <w:p w14:paraId="138065F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Katram darījumu partnerim izvēlas vienu sektoru, balstoties uz turpmākajām </w:t>
            </w:r>
            <w:r>
              <w:rPr>
                <w:sz w:val="24"/>
                <w:i/>
                <w:iCs/>
                <w:rFonts w:ascii="Times New Roman" w:hAnsi="Times New Roman"/>
              </w:rPr>
              <w:t xml:space="preserve">FINREP</w:t>
            </w:r>
            <w:r>
              <w:rPr>
                <w:sz w:val="24"/>
                <w:rFonts w:ascii="Times New Roman" w:hAnsi="Times New Roman"/>
              </w:rPr>
              <w:t xml:space="preserve"> ekonomiskā sektora klasēm (sk. šīs Īstenošanas regulas V pielikuma 3. daļu)</w:t>
            </w:r>
          </w:p>
          <w:p w14:paraId="3FD3794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centrālās bankas;</w:t>
            </w:r>
          </w:p>
          <w:p w14:paraId="2EDFC75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vispārējās valdības;</w:t>
            </w:r>
          </w:p>
          <w:p w14:paraId="59EF6A2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iii)</w:t>
            </w:r>
            <w:r>
              <w:rPr>
                <w:sz w:val="24"/>
                <w:rFonts w:ascii="Times New Roman" w:hAnsi="Times New Roman"/>
              </w:rPr>
              <w:tab/>
            </w:r>
            <w:r>
              <w:rPr>
                <w:sz w:val="24"/>
                <w:rFonts w:ascii="Times New Roman" w:hAnsi="Times New Roman"/>
              </w:rPr>
              <w:t xml:space="preserve">kredītiestādes;</w:t>
            </w:r>
          </w:p>
          <w:p w14:paraId="50C8960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iv)</w:t>
            </w:r>
            <w:r>
              <w:rPr>
                <w:sz w:val="24"/>
                <w:rFonts w:ascii="Times New Roman" w:hAnsi="Times New Roman"/>
              </w:rPr>
              <w:tab/>
            </w:r>
            <w:r>
              <w:rPr>
                <w:sz w:val="24"/>
                <w:rFonts w:ascii="Times New Roman" w:hAnsi="Times New Roman"/>
              </w:rPr>
              <w:t xml:space="preserve">ieguldījumu brokeru sabiedrība, kā definēts Regulas (ES) 575/2013 4. panta 1. punkta 2) apakšpunktā.</w:t>
            </w:r>
          </w:p>
          <w:p w14:paraId="3A2FD93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w:t>
            </w:r>
            <w:r>
              <w:rPr>
                <w:sz w:val="24"/>
                <w:rFonts w:ascii="Times New Roman" w:hAnsi="Times New Roman"/>
              </w:rPr>
              <w:tab/>
            </w:r>
            <w:r>
              <w:rPr>
                <w:sz w:val="24"/>
                <w:rFonts w:ascii="Times New Roman" w:hAnsi="Times New Roman"/>
              </w:rPr>
              <w:t xml:space="preserve">Citas finanšu sabiedrības (izņemot ieguldījumu brokeru sabiedrības);</w:t>
            </w:r>
          </w:p>
          <w:p w14:paraId="58ADE56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w:t>
            </w:r>
            <w:r>
              <w:rPr>
                <w:sz w:val="24"/>
                <w:rFonts w:ascii="Times New Roman" w:hAnsi="Times New Roman"/>
              </w:rPr>
              <w:tab/>
            </w:r>
            <w:r>
              <w:rPr>
                <w:sz w:val="24"/>
                <w:rFonts w:ascii="Times New Roman" w:hAnsi="Times New Roman"/>
              </w:rPr>
              <w:t xml:space="preserve">Nefinanšu sabiedrības.</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 xml:space="preserve">0050.</w:t>
            </w:r>
          </w:p>
        </w:tc>
        <w:tc>
          <w:tcPr>
            <w:tcW w:w="7655" w:type="dxa"/>
            <w:vAlign w:val="center"/>
          </w:tcPr>
          <w:p w14:paraId="72BF6C7A"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DARĪJUMU PARTNERA VEIDS</w:t>
            </w:r>
          </w:p>
          <w:p w14:paraId="34B1867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Iestāde norāda darījumu partnera veidu, kas var būt:</w:t>
            </w:r>
          </w:p>
          <w:p w14:paraId="198097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w:t>
            </w:r>
            <w:r>
              <w:rPr>
                <w:sz w:val="24"/>
                <w:i/>
                <w:iCs/>
                <w:rFonts w:ascii="Times New Roman" w:hAnsi="Times New Roman"/>
              </w:rPr>
              <w:t xml:space="preserve">QCCP</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ja darījumu partneris ir atbilstīgs </w:t>
            </w:r>
            <w:r>
              <w:rPr>
                <w:sz w:val="24"/>
                <w:i/>
                <w:iCs/>
                <w:rFonts w:ascii="Times New Roman" w:hAnsi="Times New Roman"/>
              </w:rPr>
              <w:t xml:space="preserve">CCP</w:t>
            </w:r>
            <w:r>
              <w:rPr>
                <w:sz w:val="24"/>
                <w:rFonts w:ascii="Times New Roman" w:hAnsi="Times New Roman"/>
              </w:rPr>
              <w:t xml:space="preserve">;</w:t>
            </w:r>
          </w:p>
          <w:p w14:paraId="7530291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w:t>
            </w:r>
            <w:r>
              <w:rPr>
                <w:sz w:val="24"/>
                <w:i/>
                <w:iCs/>
                <w:rFonts w:ascii="Times New Roman" w:hAnsi="Times New Roman"/>
              </w:rPr>
              <w:t xml:space="preserve">NON</w:t>
            </w:r>
            <w:r>
              <w:rPr>
                <w:sz w:val="24"/>
                <w:rFonts w:ascii="Times New Roman" w:hAnsi="Times New Roman"/>
              </w:rPr>
              <w:t xml:space="preserve">-</w:t>
            </w:r>
            <w:r>
              <w:rPr>
                <w:sz w:val="24"/>
                <w:i/>
                <w:iCs/>
                <w:i/>
                <w:iCs/>
                <w:rFonts w:ascii="Times New Roman" w:hAnsi="Times New Roman"/>
              </w:rPr>
              <w:t xml:space="preserve">QCCP</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ja darījumu partneris nav atbilstīgs </w:t>
            </w:r>
            <w:r>
              <w:rPr>
                <w:sz w:val="24"/>
                <w:i/>
                <w:iCs/>
                <w:rFonts w:ascii="Times New Roman" w:hAnsi="Times New Roman"/>
              </w:rPr>
              <w:t xml:space="preserve">CCP</w:t>
            </w:r>
            <w:r>
              <w:rPr>
                <w:sz w:val="24"/>
                <w:rFonts w:ascii="Times New Roman" w:hAnsi="Times New Roman"/>
              </w:rPr>
              <w:t xml:space="preserve">;</w:t>
            </w:r>
          </w:p>
          <w:p w14:paraId="53A6116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w:t>
            </w:r>
            <w:r>
              <w:rPr>
                <w:sz w:val="24"/>
                <w:i/>
                <w:iCs/>
                <w:rFonts w:ascii="Times New Roman" w:hAnsi="Times New Roman"/>
              </w:rPr>
              <w:t xml:space="preserve">No</w:t>
            </w:r>
            <w:r>
              <w:rPr>
                <w:sz w:val="24"/>
                <w:rFonts w:ascii="Times New Roman" w:hAnsi="Times New Roman"/>
              </w:rPr>
              <w:t xml:space="preserve"> </w:t>
            </w:r>
            <w:r>
              <w:rPr>
                <w:sz w:val="24"/>
                <w:i/>
                <w:iCs/>
                <w:rFonts w:ascii="Times New Roman" w:hAnsi="Times New Roman"/>
              </w:rPr>
              <w:t xml:space="preserve">CCP</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ja darījumu partneris nav </w:t>
            </w:r>
            <w:r>
              <w:rPr>
                <w:sz w:val="24"/>
                <w:i/>
                <w:iCs/>
                <w:rFonts w:ascii="Times New Roman" w:hAnsi="Times New Roman"/>
              </w:rPr>
              <w:t xml:space="preserve">CCP</w:t>
            </w:r>
            <w:r>
              <w:rPr>
                <w:sz w:val="24"/>
                <w:rFonts w:ascii="Times New Roman" w:hAnsi="Times New Roman"/>
              </w:rPr>
              <w:t xml:space="preserve">.</w:t>
            </w:r>
            <w:r>
              <w:rPr>
                <w:sz w:val="24"/>
                <w:rFonts w:ascii="Times New Roman" w:hAnsi="Times New Roman"/>
              </w:rPr>
              <w:t xml:space="preserve">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 xml:space="preserve">0060.</w:t>
            </w:r>
          </w:p>
        </w:tc>
        <w:tc>
          <w:tcPr>
            <w:tcW w:w="7655" w:type="dxa"/>
            <w:vAlign w:val="center"/>
          </w:tcPr>
          <w:p w14:paraId="653C0A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DARĪJUMU PARTNERA REZIDENCES VIETA</w:t>
            </w:r>
          </w:p>
          <w:p w14:paraId="4B5E06D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Izmanto darījuma partnera inkorporācijas valsts </w:t>
            </w:r>
            <w:r>
              <w:rPr>
                <w:sz w:val="24"/>
                <w:i/>
                <w:iCs/>
                <w:rFonts w:ascii="Times New Roman" w:hAnsi="Times New Roman"/>
              </w:rPr>
              <w:t xml:space="preserve">IS</w:t>
            </w:r>
            <w:r>
              <w:rPr>
                <w:sz w:val="24"/>
                <w:rFonts w:ascii="Times New Roman" w:hAnsi="Times New Roman"/>
              </w:rPr>
              <w:t xml:space="preserve">O kodu 3166-1-alpha-2 (tostarp pseido </w:t>
            </w:r>
            <w:r>
              <w:rPr>
                <w:sz w:val="24"/>
                <w:i/>
                <w:iCs/>
                <w:rFonts w:ascii="Times New Roman" w:hAnsi="Times New Roman"/>
              </w:rPr>
              <w:t xml:space="preserve">ISO</w:t>
            </w:r>
            <w:r>
              <w:rPr>
                <w:sz w:val="24"/>
                <w:rFonts w:ascii="Times New Roman" w:hAnsi="Times New Roman"/>
              </w:rPr>
              <w:t xml:space="preserve"> kodus starptautiskajām organizācijām, kas pieejami </w:t>
            </w:r>
            <w:r>
              <w:rPr>
                <w:sz w:val="24"/>
                <w:i/>
                <w:iCs/>
                <w:rFonts w:ascii="Times New Roman" w:hAnsi="Times New Roman"/>
              </w:rPr>
              <w:t xml:space="preserve">Eurostat</w:t>
            </w:r>
            <w:r>
              <w:rPr>
                <w:sz w:val="24"/>
                <w:rFonts w:ascii="Times New Roman" w:hAnsi="Times New Roman"/>
              </w:rPr>
              <w:t xml:space="preserve"> “Balance of Payments Vademecum” jaunākajā izdevumā, kurā izdarīti grozījumi).</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 xml:space="preserve">0070.</w:t>
            </w:r>
          </w:p>
        </w:tc>
        <w:tc>
          <w:tcPr>
            <w:tcW w:w="7655" w:type="dxa"/>
            <w:vAlign w:val="center"/>
          </w:tcPr>
          <w:p w14:paraId="1141BEDE"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DARĪJUMU SKAITS</w:t>
            </w:r>
          </w:p>
          <w:p w14:paraId="22440C23"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Sk. norādes attiecībā uz C 34.02. veidnes 0020. sleju.</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 xml:space="preserve">0080.</w:t>
            </w:r>
          </w:p>
        </w:tc>
        <w:tc>
          <w:tcPr>
            <w:tcW w:w="7655" w:type="dxa"/>
            <w:vAlign w:val="center"/>
          </w:tcPr>
          <w:p w14:paraId="7D28C8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NOSACĪTĀS SUMMAS</w:t>
            </w:r>
          </w:p>
          <w:p w14:paraId="2092F8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Sk. norādes attiecībā uz C 34.02. veidnes 0030. sleju.</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 xml:space="preserve">0090.</w:t>
            </w:r>
          </w:p>
        </w:tc>
        <w:tc>
          <w:tcPr>
            <w:tcW w:w="7655" w:type="dxa"/>
            <w:vAlign w:val="center"/>
          </w:tcPr>
          <w:p w14:paraId="05F00A70"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PAŠREIZĒJĀ TIRGUS VĒRTĪBA (</w:t>
            </w:r>
            <w:r>
              <w:rPr>
                <w:b/>
                <w:sz w:val="24"/>
                <w:u w:val="single"/>
                <w:i/>
                <w:iCs/>
                <w:rFonts w:ascii="Times New Roman" w:hAnsi="Times New Roman"/>
              </w:rPr>
              <w:t xml:space="preserve">CMV</w:t>
            </w:r>
            <w:r>
              <w:rPr>
                <w:b/>
                <w:sz w:val="24"/>
                <w:u w:val="single"/>
                <w:rFonts w:ascii="Times New Roman" w:hAnsi="Times New Roman"/>
              </w:rPr>
              <w:t xml:space="preserve">), pozitīva</w:t>
            </w:r>
          </w:p>
          <w:p w14:paraId="64CD132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Sk. norādes attiecībā uz C 34.02. veidnes 0040. sleju.</w:t>
            </w:r>
          </w:p>
          <w:p w14:paraId="2A6475F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Iestāde uzrāda savstarpējo prasījumu ieskaita kopu, kuru </w:t>
            </w:r>
            <w:r>
              <w:rPr>
                <w:sz w:val="24"/>
                <w:i/>
                <w:iCs/>
                <w:rFonts w:ascii="Times New Roman" w:hAnsi="Times New Roman"/>
              </w:rPr>
              <w:t xml:space="preserve">CMV</w:t>
            </w:r>
            <w:r>
              <w:rPr>
                <w:sz w:val="24"/>
                <w:rFonts w:ascii="Times New Roman" w:hAnsi="Times New Roman"/>
              </w:rPr>
              <w:t xml:space="preserve"> ir pozitīva, summu, ja attiecībā uz to pašu partneri ir vairākas savstarpējo prasījumu ieskaita kopas.</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 xml:space="preserve">0100.</w:t>
            </w:r>
          </w:p>
        </w:tc>
        <w:tc>
          <w:tcPr>
            <w:tcW w:w="7655" w:type="dxa"/>
            <w:vAlign w:val="center"/>
          </w:tcPr>
          <w:p w14:paraId="6ED129D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PAŠREIZĒJĀ TIRGUS VĒRTĪBA (</w:t>
            </w:r>
            <w:r>
              <w:rPr>
                <w:b/>
                <w:sz w:val="24"/>
                <w:u w:val="single"/>
                <w:i/>
                <w:iCs/>
                <w:rFonts w:ascii="Times New Roman" w:hAnsi="Times New Roman"/>
              </w:rPr>
              <w:t xml:space="preserve">CMV</w:t>
            </w:r>
            <w:r>
              <w:rPr>
                <w:b/>
                <w:sz w:val="24"/>
                <w:u w:val="single"/>
                <w:rFonts w:ascii="Times New Roman" w:hAnsi="Times New Roman"/>
              </w:rPr>
              <w:t xml:space="preserve">), negatīva</w:t>
            </w:r>
          </w:p>
          <w:p w14:paraId="693E2E9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Sk. norādes attiecībā uz C 34.02. veidnes 0040. sleju.</w:t>
            </w:r>
          </w:p>
          <w:p w14:paraId="118E0D7B"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Iestāde uzrāda savstarpējo prasījumu ieskaita kopu, kuru </w:t>
            </w:r>
            <w:r>
              <w:rPr>
                <w:sz w:val="24"/>
                <w:i/>
                <w:iCs/>
                <w:rFonts w:ascii="Times New Roman" w:hAnsi="Times New Roman"/>
              </w:rPr>
              <w:t xml:space="preserve">CMV</w:t>
            </w:r>
            <w:r>
              <w:rPr>
                <w:sz w:val="24"/>
                <w:rFonts w:ascii="Times New Roman" w:hAnsi="Times New Roman"/>
              </w:rPr>
              <w:t xml:space="preserve"> ir negatīva, absolūto summu, ja attiecībā uz to pašu partneri ir vairākas savstarpējo prasījumu ieskaita kopas.</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 xml:space="preserve">0110.</w:t>
            </w:r>
          </w:p>
        </w:tc>
        <w:tc>
          <w:tcPr>
            <w:tcW w:w="7655" w:type="dxa"/>
            <w:vAlign w:val="center"/>
          </w:tcPr>
          <w:p w14:paraId="3099FFC7"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RISKA DARĪJUMU VĒRTĪBA PĒC KRM</w:t>
            </w:r>
          </w:p>
          <w:p w14:paraId="1EF646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Sk. norādes attiecībā uz C 34.02. veidnes 0160. sleju.</w:t>
            </w:r>
            <w:r>
              <w:rPr>
                <w:sz w:val="24"/>
                <w:rFonts w:ascii="Times New Roman" w:hAnsi="Times New Roman"/>
              </w:rPr>
              <w:t xml:space="preserve"> </w:t>
            </w:r>
          </w:p>
          <w:p w14:paraId="6904AB8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Iestāde uzrāda savstarpējo prasījumu ieskaita kopu riska darījumu vērtības pēc KRM, ja attiecībā uz to pašu partneri ir vairākas savstarpējo prasījumu ieskaita kopas.</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 xml:space="preserve">0120.</w:t>
            </w:r>
          </w:p>
        </w:tc>
        <w:tc>
          <w:tcPr>
            <w:tcW w:w="7655" w:type="dxa"/>
            <w:vAlign w:val="center"/>
          </w:tcPr>
          <w:p w14:paraId="40235E2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RISKA DARĪJUMU VĒRTĪBA</w:t>
            </w:r>
          </w:p>
          <w:p w14:paraId="27DEE9F6"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Sk. norādes attiecībā uz C 34.02. veidnes 0170. sleju.</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 xml:space="preserve">0130.</w:t>
            </w:r>
          </w:p>
        </w:tc>
        <w:tc>
          <w:tcPr>
            <w:tcW w:w="7655" w:type="dxa"/>
            <w:vAlign w:val="center"/>
          </w:tcPr>
          <w:p w14:paraId="31E4AF7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RISKA DARĪJUMU RISKA SVĒRTĀS VĒRTĪBAS</w:t>
            </w:r>
          </w:p>
          <w:p w14:paraId="2D2BB308"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Sk. norādes attiecībā uz C 34.02. veidnes 0200. sleju.</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8" w:name="_Toc19715819"/>
      <w:bookmarkStart w:id="49" w:name="_Toc151714459"/>
      <w:r>
        <w:rPr>
          <w:sz w:val="24"/>
          <w:rFonts w:ascii="Times New Roman" w:hAnsi="Times New Roman"/>
        </w:rPr>
        <w:t xml:space="preserve">C 34.07. - IRB pieeja – </w:t>
      </w:r>
      <w:r>
        <w:rPr>
          <w:sz w:val="24"/>
          <w:i/>
          <w:iCs/>
          <w:rFonts w:ascii="Times New Roman" w:hAnsi="Times New Roman"/>
        </w:rPr>
        <w:t xml:space="preserve">CCR</w:t>
      </w:r>
      <w:r>
        <w:rPr>
          <w:sz w:val="24"/>
          <w:rFonts w:ascii="Times New Roman" w:hAnsi="Times New Roman"/>
        </w:rPr>
        <w:t xml:space="preserve"> riska darījumi dalījumā pa riska darījumu kategorijām un </w:t>
      </w:r>
      <w:r>
        <w:rPr>
          <w:sz w:val="24"/>
          <w:i/>
          <w:iCs/>
          <w:rFonts w:ascii="Times New Roman" w:hAnsi="Times New Roman"/>
        </w:rPr>
        <w:t xml:space="preserve">PD</w:t>
      </w:r>
      <w:r>
        <w:rPr>
          <w:sz w:val="24"/>
          <w:rFonts w:ascii="Times New Roman" w:hAnsi="Times New Roman"/>
        </w:rPr>
        <w:t xml:space="preserve"> diapazoniem</w:t>
      </w:r>
      <w:bookmarkEnd w:id="48"/>
      <w:bookmarkEnd w:id="49"/>
      <w:r>
        <w:rPr>
          <w:sz w:val="24"/>
          <w:rFonts w:ascii="Times New Roman" w:hAnsi="Times New Roman"/>
        </w:rPr>
        <w:t xml:space="preserve"> </w:t>
      </w:r>
    </w:p>
    <w:p w14:paraId="5DE58571"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0" w:name="_Toc19715820"/>
      <w:bookmarkStart w:id="51" w:name="_Toc151714460"/>
      <w:r>
        <w:rPr>
          <w:sz w:val="24"/>
          <w:rFonts w:ascii="Times New Roman" w:hAnsi="Times New Roman"/>
        </w:rPr>
        <w:t xml:space="preserve">Vispārīgas piezīmes</w:t>
      </w:r>
      <w:bookmarkEnd w:id="50"/>
      <w:bookmarkEnd w:id="51"/>
    </w:p>
    <w:p w14:paraId="493D377D" w14:textId="08D4F1D7"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128</w:t>
      </w:r>
      <w:r>
        <w:fldChar w:fldCharType="end"/>
      </w:r>
      <w:r>
        <w:t xml:space="preserve">.</w:t>
      </w:r>
      <w:r>
        <w:t xml:space="preserve"> </w:t>
      </w:r>
      <w:r>
        <w:t xml:space="preserve">Šo veidni uzrāda iestādes, kuras izmanto vai nu attīstīto IRB pieeju vai IRB pamatpieeju, lai aprēķinātu riska darījumu riska svērtās vērtības visiem vai daļai no to </w:t>
      </w:r>
      <w:r>
        <w:rPr>
          <w:i/>
          <w:iCs/>
        </w:rPr>
        <w:t xml:space="preserve">CCR</w:t>
      </w:r>
      <w:r>
        <w:t xml:space="preserve"> riska darījumiem saskaņā ar Regulas (ES) Nr. 575/2013 107. pantu, neatkarīgi no </w:t>
      </w:r>
      <w:r>
        <w:rPr>
          <w:i/>
          <w:iCs/>
        </w:rPr>
        <w:t xml:space="preserve">CCR</w:t>
      </w:r>
      <w:r>
        <w:t xml:space="preserve"> pieejas, kas izmantota, lai noteiktu riska darījumu vērtības saskaņā ar Regulas (ES) Nr. 575/2013 Trešās daļas II sadaļas 4. un 6. nodaļu.</w:t>
      </w:r>
      <w:r>
        <w:t xml:space="preserve"> </w:t>
      </w:r>
    </w:p>
    <w:p w14:paraId="4C8689E1" w14:textId="222A66BC"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129</w:t>
      </w:r>
      <w:r>
        <w:fldChar w:fldCharType="end"/>
      </w:r>
      <w:r>
        <w:t xml:space="preserve">.</w:t>
      </w:r>
      <w:r>
        <w:t xml:space="preserve"> </w:t>
      </w:r>
      <w:r>
        <w:t xml:space="preserve">Šo veidni uzrāda atsevišķi attiecībā uz visu riska darījumu kategoriju kopsummu, kā arī atsevišķi attiecībā uz katru no Regulas (ES) Nr. 575/2013 147. pantā uzskaitītajām riska darījumu kategorijām.</w:t>
      </w:r>
      <w:r>
        <w:t xml:space="preserve"> </w:t>
      </w:r>
      <w:r>
        <w:t xml:space="preserve">No šīs veidnes izslēdz riska darījumus, kuriem veikta tīrvērte, izmantojot centrālo darījumu partneri.</w:t>
      </w:r>
      <w:r>
        <w:t xml:space="preserve"> </w:t>
      </w:r>
    </w:p>
    <w:p w14:paraId="606463EA" w14:textId="4FB3F05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130</w:t>
      </w:r>
      <w:r>
        <w:fldChar w:fldCharType="end"/>
      </w:r>
      <w:r>
        <w:t xml:space="preserve">.</w:t>
      </w:r>
      <w:r>
        <w:t xml:space="preserve"> </w:t>
      </w:r>
      <w:r>
        <w:t xml:space="preserve">Lai noskaidrotu, vai iestāde izmanto pašu aplēses attiecībā uz </w:t>
      </w:r>
      <w:r>
        <w:rPr>
          <w:i/>
          <w:iCs/>
        </w:rPr>
        <w:t xml:space="preserve">LGD</w:t>
      </w:r>
      <w:r>
        <w:t xml:space="preserve"> un/vai kredīta korekcijas pakāpes, par katru uzrādīto riska darījumu kategoriju sniedz šādu informāciju:</w:t>
      </w:r>
    </w:p>
    <w:p w14:paraId="0659E66C"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“NĒ” = ja izmanto uzraudzības iestāžu aplēses attiecībā uz </w:t>
      </w:r>
      <w:r>
        <w:rPr>
          <w:sz w:val="24"/>
          <w:i/>
          <w:iCs/>
          <w:rFonts w:ascii="Times New Roman" w:hAnsi="Times New Roman"/>
        </w:rPr>
        <w:t xml:space="preserve">LGD</w:t>
      </w:r>
      <w:r>
        <w:rPr>
          <w:sz w:val="24"/>
          <w:rFonts w:ascii="Times New Roman" w:hAnsi="Times New Roman"/>
        </w:rPr>
        <w:t xml:space="preserve"> un kredīta korekcijas pakāpes (IRB pamatpieeja);</w:t>
      </w:r>
    </w:p>
    <w:p w14:paraId="41E96B9D"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“JĀ” = ja izmanto pašu aplēses attiecībā uz </w:t>
      </w:r>
      <w:r>
        <w:rPr>
          <w:sz w:val="24"/>
          <w:i/>
          <w:iCs/>
          <w:rFonts w:ascii="Times New Roman" w:hAnsi="Times New Roman"/>
        </w:rPr>
        <w:t xml:space="preserve">LGD</w:t>
      </w:r>
      <w:r>
        <w:rPr>
          <w:sz w:val="24"/>
          <w:rFonts w:ascii="Times New Roman" w:hAnsi="Times New Roman"/>
        </w:rPr>
        <w:t xml:space="preserve"> un kredīta korekcijas pakāpes (attīstītā IRB pieeja).</w:t>
      </w:r>
      <w:r>
        <w:rPr>
          <w:sz w:val="24"/>
          <w:rFonts w:ascii="Times New Roman" w:hAnsi="Times New Roman"/>
        </w:rPr>
        <w:t xml:space="preserve"> </w:t>
      </w:r>
    </w:p>
    <w:p w14:paraId="32D2509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2" w:name="_Toc19715821"/>
      <w:bookmarkStart w:id="53" w:name="_Toc151714461"/>
      <w:r>
        <w:rPr>
          <w:sz w:val="24"/>
          <w:rFonts w:ascii="Times New Roman" w:hAnsi="Times New Roman"/>
        </w:rPr>
        <w:t xml:space="preserve">Norādes par konkrētām pozīcijām</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Slejas</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0010.</w:t>
            </w:r>
          </w:p>
        </w:tc>
        <w:tc>
          <w:tcPr>
            <w:tcW w:w="7654" w:type="dxa"/>
          </w:tcPr>
          <w:p w14:paraId="67C92FD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Riska darījuma vērtība</w:t>
            </w:r>
            <w:r>
              <w:rPr>
                <w:rStyle w:val="InstructionsTabelleberschrift"/>
                <w:sz w:val="24"/>
                <w:rFonts w:ascii="Times New Roman" w:hAnsi="Times New Roman"/>
              </w:rPr>
              <w:t xml:space="preserve"> </w:t>
            </w:r>
          </w:p>
          <w:p w14:paraId="2C3DDF84"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Riska darījumu vērtība (sk. norādes attiecībā uz C 34.02. veidnes 0170. sleju), dalījumā pēc sniegtās </w:t>
            </w:r>
            <w:r>
              <w:rPr>
                <w:sz w:val="24"/>
                <w:i/>
                <w:iCs/>
                <w:rFonts w:ascii="Times New Roman" w:hAnsi="Times New Roman"/>
              </w:rPr>
              <w:t xml:space="preserve">PD</w:t>
            </w:r>
            <w:r>
              <w:rPr>
                <w:sz w:val="24"/>
                <w:rFonts w:ascii="Times New Roman" w:hAnsi="Times New Roman"/>
              </w:rPr>
              <w:t xml:space="preserve"> skalas</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0020.</w:t>
            </w:r>
          </w:p>
        </w:tc>
        <w:tc>
          <w:tcPr>
            <w:tcW w:w="7654" w:type="dxa"/>
          </w:tcPr>
          <w:p w14:paraId="57F61D37"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Riska darījumu svērtā vidējā </w:t>
            </w:r>
            <w:r>
              <w:rPr>
                <w:rStyle w:val="InstructionsTabelleberschrift"/>
                <w:sz w:val="24"/>
                <w:i/>
                <w:iCs/>
                <w:rFonts w:ascii="Times New Roman" w:hAnsi="Times New Roman"/>
              </w:rPr>
              <w:t xml:space="preserve">PD</w:t>
            </w:r>
            <w:r>
              <w:rPr>
                <w:rStyle w:val="InstructionsTabelleberschrift"/>
                <w:sz w:val="24"/>
                <w:rFonts w:ascii="Times New Roman" w:hAnsi="Times New Roman"/>
              </w:rPr>
              <w:t xml:space="preserve"> (%)</w:t>
            </w:r>
          </w:p>
          <w:p w14:paraId="17CBA31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Atsevišķo parādnieku kategorijas saistību nepildīšanas varbūtības vidējais rādītājs, kas svērts ar to atbilstošo riska darījumu vērtību, kā definēts 0010. slejai.</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0030.</w:t>
            </w:r>
          </w:p>
        </w:tc>
        <w:tc>
          <w:tcPr>
            <w:tcW w:w="7654" w:type="dxa"/>
          </w:tcPr>
          <w:p w14:paraId="2AD2D5DC"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Parādnieku skaits</w:t>
            </w:r>
            <w:r>
              <w:rPr>
                <w:rStyle w:val="InstructionsTabelleberschrift"/>
                <w:sz w:val="24"/>
                <w:rFonts w:ascii="Times New Roman" w:hAnsi="Times New Roman"/>
              </w:rPr>
              <w:t xml:space="preserve"> </w:t>
            </w:r>
          </w:p>
          <w:p w14:paraId="75633515" w14:textId="77777777" w:rsidR="00EF74C7" w:rsidRPr="002A677E" w:rsidRDefault="00EF74C7" w:rsidP="00822842">
            <w:pPr>
              <w:rPr>
                <w:sz w:val="24"/>
                <w:rFonts w:ascii="Times New Roman" w:hAnsi="Times New Roman"/>
              </w:rPr>
            </w:pPr>
            <w:r>
              <w:rPr>
                <w:sz w:val="24"/>
                <w:rFonts w:ascii="Times New Roman" w:hAnsi="Times New Roman"/>
              </w:rPr>
              <w:t xml:space="preserve">To juridisko personu vai parādnieku skaits, kuri iedalīti katrā fiksētā </w:t>
            </w:r>
            <w:r>
              <w:rPr>
                <w:sz w:val="24"/>
                <w:i/>
                <w:iCs/>
                <w:rFonts w:ascii="Times New Roman" w:hAnsi="Times New Roman"/>
              </w:rPr>
              <w:t xml:space="preserve">PD</w:t>
            </w:r>
            <w:r>
              <w:rPr>
                <w:sz w:val="24"/>
                <w:rFonts w:ascii="Times New Roman" w:hAnsi="Times New Roman"/>
              </w:rPr>
              <w:t xml:space="preserve"> diapazona grupā un kuri novērtēti atsevišķi, neatkarīgi no dažādo piešķirto aizdevumu vai riska darījumu skaita</w:t>
            </w:r>
          </w:p>
          <w:p w14:paraId="79F85080" w14:textId="77777777" w:rsidR="00EF74C7" w:rsidRPr="002A677E" w:rsidRDefault="00EF74C7" w:rsidP="00822842">
            <w:pPr>
              <w:rPr>
                <w:sz w:val="24"/>
                <w:rFonts w:ascii="Times New Roman" w:hAnsi="Times New Roman"/>
              </w:rPr>
            </w:pPr>
            <w:r>
              <w:rPr>
                <w:sz w:val="24"/>
                <w:rFonts w:ascii="Times New Roman" w:hAnsi="Times New Roman"/>
              </w:rPr>
              <w:t xml:space="preserve">Ja dažādus riska darījumus ar to pašu parādnieku novērtē atsevišķi, tos saskaita atsevišķi.</w:t>
            </w:r>
            <w:r>
              <w:rPr>
                <w:sz w:val="24"/>
                <w:rFonts w:ascii="Times New Roman" w:hAnsi="Times New Roman"/>
              </w:rPr>
              <w:t xml:space="preserve"> </w:t>
            </w:r>
            <w:r>
              <w:rPr>
                <w:sz w:val="24"/>
                <w:rFonts w:ascii="Times New Roman" w:hAnsi="Times New Roman"/>
              </w:rPr>
              <w:t xml:space="preserve">Šāda situācija var rasties tad, ja atsevišķi riska darījumi ar vienu un to pašu parādnieku tiek iedalīti dažādās parādnieku kategorijās saskaņā ar Regulas (ES) Nr. 575/2013 172. panta 1. punkta e) apakšpunkta otro teikumu.</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0040.</w:t>
            </w:r>
          </w:p>
        </w:tc>
        <w:tc>
          <w:tcPr>
            <w:tcW w:w="7654" w:type="dxa"/>
          </w:tcPr>
          <w:p w14:paraId="1D60931A"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Riska darījumu svērtie vidējie </w:t>
            </w:r>
            <w:r>
              <w:rPr>
                <w:rStyle w:val="InstructionsTabelleberschrift"/>
                <w:sz w:val="24"/>
                <w:i/>
                <w:iCs/>
                <w:rFonts w:ascii="Times New Roman" w:hAnsi="Times New Roman"/>
              </w:rPr>
              <w:t xml:space="preserve">LGD</w:t>
            </w:r>
            <w:r>
              <w:rPr>
                <w:rStyle w:val="InstructionsTabelleberschrift"/>
                <w:sz w:val="24"/>
                <w:rFonts w:ascii="Times New Roman" w:hAnsi="Times New Roman"/>
              </w:rPr>
              <w:t xml:space="preserve"> (%)</w:t>
            </w:r>
          </w:p>
          <w:p w14:paraId="1CF7FBBB"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Parādnieku kategorijas </w:t>
            </w:r>
            <w:r>
              <w:rPr>
                <w:sz w:val="24"/>
                <w:i/>
                <w:iCs/>
                <w:rFonts w:ascii="Times New Roman" w:hAnsi="Times New Roman"/>
              </w:rPr>
              <w:t xml:space="preserve">LGD</w:t>
            </w:r>
            <w:r>
              <w:rPr>
                <w:sz w:val="24"/>
                <w:rFonts w:ascii="Times New Roman" w:hAnsi="Times New Roman"/>
              </w:rPr>
              <w:t xml:space="preserve"> vidējais rādītājs, kas svērts ar to atbilstošo riska darījumu vērtību, kā definēts 0010. slejai.</w:t>
            </w:r>
          </w:p>
          <w:p w14:paraId="7080F0A6" w14:textId="080029A0" w:rsidR="00EF74C7" w:rsidRPr="002A677E" w:rsidRDefault="00EF74C7" w:rsidP="00822842">
            <w:pPr>
              <w:rPr>
                <w:sz w:val="24"/>
                <w:rFonts w:ascii="Times New Roman" w:hAnsi="Times New Roman"/>
              </w:rPr>
            </w:pPr>
            <w:r>
              <w:rPr>
                <w:sz w:val="24"/>
                <w:rFonts w:ascii="Times New Roman" w:hAnsi="Times New Roman"/>
              </w:rPr>
              <w:t xml:space="preserve">Uzrādītais </w:t>
            </w:r>
            <w:r>
              <w:rPr>
                <w:sz w:val="24"/>
                <w:i/>
                <w:iCs/>
                <w:rFonts w:ascii="Times New Roman" w:hAnsi="Times New Roman"/>
              </w:rPr>
              <w:t xml:space="preserve">LGD</w:t>
            </w:r>
            <w:r>
              <w:rPr>
                <w:sz w:val="24"/>
                <w:rFonts w:ascii="Times New Roman" w:hAnsi="Times New Roman"/>
              </w:rPr>
              <w:t xml:space="preserve"> atbilst galīgajai </w:t>
            </w:r>
            <w:r>
              <w:rPr>
                <w:sz w:val="24"/>
                <w:i/>
                <w:iCs/>
                <w:rFonts w:ascii="Times New Roman" w:hAnsi="Times New Roman"/>
              </w:rPr>
              <w:t xml:space="preserve">LGD</w:t>
            </w:r>
            <w:r>
              <w:rPr>
                <w:sz w:val="24"/>
                <w:rFonts w:ascii="Times New Roman" w:hAnsi="Times New Roman"/>
              </w:rPr>
              <w:t xml:space="preserve"> aplēsei, kas izmantota, aprēķinot riska darījumu riska svērtās vērtības, kuras iegūtas, attiecīgā gadījumā ņemot vērā visu KRM ietekmi un lejupslīdes apstākļus, kā precizēts Regulas (ES) Nr. 575/2013 Trešās daļas II sadaļas 3.un 4. nodaļā.</w:t>
            </w:r>
            <w:r>
              <w:rPr>
                <w:sz w:val="24"/>
                <w:rFonts w:ascii="Times New Roman" w:hAnsi="Times New Roman"/>
              </w:rPr>
              <w:t xml:space="preserve"> </w:t>
            </w:r>
            <w:r>
              <w:rPr>
                <w:sz w:val="24"/>
                <w:rFonts w:ascii="Times New Roman" w:hAnsi="Times New Roman"/>
              </w:rPr>
              <w:t xml:space="preserve">Jo īpaši saskaņā ar Regulas (ES) Nr. 575/2013 228. panta 230. punktu iestādes, kas piemēro IRB pieeju, bet ne pašu aplēses attiecībā uz </w:t>
            </w:r>
            <w:r>
              <w:rPr>
                <w:sz w:val="24"/>
                <w:i/>
                <w:iCs/>
                <w:rFonts w:ascii="Times New Roman" w:hAnsi="Times New Roman"/>
              </w:rPr>
              <w:t xml:space="preserve">LGD</w:t>
            </w:r>
            <w:r>
              <w:rPr>
                <w:sz w:val="24"/>
                <w:rFonts w:ascii="Times New Roman" w:hAnsi="Times New Roman"/>
              </w:rPr>
              <w:t xml:space="preserve">, finanšu nodrošinājuma riska mazināšanas ietekmi atspoguļo E*, kas ir riska darījuma pilnībā koriģētā vērtība, un pēc tam </w:t>
            </w:r>
            <w:r>
              <w:rPr>
                <w:sz w:val="24"/>
                <w:i/>
                <w:iCs/>
                <w:rFonts w:ascii="Times New Roman" w:hAnsi="Times New Roman"/>
              </w:rPr>
              <w:t xml:space="preserve">LGD</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Ja izmanto pašu aplēses attiecībā uz </w:t>
            </w:r>
            <w:r>
              <w:rPr>
                <w:sz w:val="24"/>
                <w:i/>
                <w:iCs/>
                <w:rFonts w:ascii="Times New Roman" w:hAnsi="Times New Roman"/>
              </w:rPr>
              <w:t xml:space="preserve">LGD</w:t>
            </w:r>
            <w:r>
              <w:rPr>
                <w:sz w:val="24"/>
                <w:rFonts w:ascii="Times New Roman" w:hAnsi="Times New Roman"/>
              </w:rPr>
              <w:t xml:space="preserve"> – ņem vērā Regulas (EK) Nr. 575/2013 175. pantu un 181. panta 1. un 2. punktu.</w:t>
            </w:r>
          </w:p>
          <w:p w14:paraId="1D9D0798" w14:textId="77777777" w:rsidR="00EF74C7" w:rsidRPr="002A677E" w:rsidRDefault="00EF74C7" w:rsidP="00822842">
            <w:pPr>
              <w:rPr>
                <w:sz w:val="24"/>
                <w:rFonts w:ascii="Times New Roman" w:hAnsi="Times New Roman"/>
              </w:rPr>
            </w:pPr>
            <w:r>
              <w:rPr>
                <w:sz w:val="24"/>
                <w:rFonts w:ascii="Times New Roman" w:hAnsi="Times New Roman"/>
              </w:rPr>
              <w:t xml:space="preserve">Attiecībā uz riska darījumiem, kuriem piemēro divkāršās saistību neizpildes procedūru, uzrādāmie </w:t>
            </w:r>
            <w:r>
              <w:rPr>
                <w:sz w:val="24"/>
                <w:i/>
                <w:iCs/>
                <w:rFonts w:ascii="Times New Roman" w:hAnsi="Times New Roman"/>
              </w:rPr>
              <w:t xml:space="preserve">LGD</w:t>
            </w:r>
            <w:r>
              <w:rPr>
                <w:sz w:val="24"/>
                <w:rFonts w:ascii="Times New Roman" w:hAnsi="Times New Roman"/>
              </w:rPr>
              <w:t xml:space="preserve"> atbilst tiem, kas izvēlēti saskaņā ar Regulas (ES) Nr. 575/2013 161. panta 4. punktu.</w:t>
            </w:r>
          </w:p>
          <w:p w14:paraId="2C390C4A" w14:textId="77777777" w:rsidR="00EF74C7" w:rsidRPr="002A677E" w:rsidRDefault="00EF74C7" w:rsidP="00822842">
            <w:pPr>
              <w:spacing w:before="60" w:after="240"/>
              <w:rPr>
                <w:strike/>
                <w:sz w:val="24"/>
                <w:rFonts w:ascii="Times New Roman" w:hAnsi="Times New Roman"/>
              </w:rPr>
            </w:pPr>
            <w:r>
              <w:rPr>
                <w:sz w:val="24"/>
                <w:rFonts w:ascii="Times New Roman" w:hAnsi="Times New Roman"/>
              </w:rPr>
              <w:t xml:space="preserve">Attiecībā uz riska darījumiem, kuros nav izpildītas saistības, saskaņā ar </w:t>
            </w:r>
            <w:r>
              <w:rPr>
                <w:sz w:val="24"/>
                <w:i/>
                <w:iCs/>
                <w:rFonts w:ascii="Times New Roman" w:hAnsi="Times New Roman"/>
              </w:rPr>
              <w:t xml:space="preserve">A-IRB</w:t>
            </w:r>
            <w:r>
              <w:rPr>
                <w:sz w:val="24"/>
                <w:rFonts w:ascii="Times New Roman" w:hAnsi="Times New Roman"/>
              </w:rPr>
              <w:t xml:space="preserve"> pieeju, ņem vērā Regulas (ES) Nr. 575/2013 181. panta 1. punkta h) apakšpunkta noteikumus.</w:t>
            </w:r>
            <w:r>
              <w:rPr>
                <w:sz w:val="24"/>
                <w:rFonts w:ascii="Times New Roman" w:hAnsi="Times New Roman"/>
              </w:rPr>
              <w:t xml:space="preserve"> </w:t>
            </w:r>
            <w:r>
              <w:rPr>
                <w:sz w:val="24"/>
                <w:rFonts w:ascii="Times New Roman" w:hAnsi="Times New Roman"/>
              </w:rPr>
              <w:t xml:space="preserve">Uzrādītais </w:t>
            </w:r>
            <w:r>
              <w:rPr>
                <w:sz w:val="24"/>
                <w:i/>
                <w:iCs/>
                <w:rFonts w:ascii="Times New Roman" w:hAnsi="Times New Roman"/>
              </w:rPr>
              <w:t xml:space="preserve">LGD</w:t>
            </w:r>
            <w:r>
              <w:rPr>
                <w:sz w:val="24"/>
                <w:rFonts w:ascii="Times New Roman" w:hAnsi="Times New Roman"/>
              </w:rPr>
              <w:t xml:space="preserve"> atbilst aplēsēm par </w:t>
            </w:r>
            <w:r>
              <w:rPr>
                <w:sz w:val="24"/>
                <w:i/>
                <w:iCs/>
                <w:rFonts w:ascii="Times New Roman" w:hAnsi="Times New Roman"/>
              </w:rPr>
              <w:t xml:space="preserve">LGD</w:t>
            </w:r>
            <w:r>
              <w:rPr>
                <w:sz w:val="24"/>
                <w:rFonts w:ascii="Times New Roman" w:hAnsi="Times New Roman"/>
              </w:rPr>
              <w:t xml:space="preserve">, kuros nav izpildītas saistības.</w:t>
            </w:r>
            <w:r>
              <w:rPr>
                <w:sz w:val="24"/>
                <w:rFonts w:ascii="Times New Roman" w:hAnsi="Times New Roman"/>
              </w:rPr>
              <w:t xml:space="preserve">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0050.</w:t>
            </w:r>
          </w:p>
        </w:tc>
        <w:tc>
          <w:tcPr>
            <w:tcW w:w="7654" w:type="dxa"/>
          </w:tcPr>
          <w:p w14:paraId="6BAEF9E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Riska darījumu svērtais vidējais termiņš (gadi)</w:t>
            </w:r>
          </w:p>
          <w:p w14:paraId="32B69B7E"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Parādnieku termiņu vidējais rādītājs gados, kas svērts ar to atbilstošo riska darījumu vērtību, kā definēts 0010. slejai.</w:t>
            </w:r>
          </w:p>
          <w:p w14:paraId="2277F2A3" w14:textId="77777777" w:rsidR="00EF74C7" w:rsidRPr="002A677E" w:rsidRDefault="00EF74C7" w:rsidP="00822842">
            <w:pPr>
              <w:rPr>
                <w:sz w:val="24"/>
                <w:rFonts w:ascii="Times New Roman" w:hAnsi="Times New Roman"/>
              </w:rPr>
            </w:pPr>
            <w:r>
              <w:rPr>
                <w:sz w:val="24"/>
                <w:rFonts w:ascii="Times New Roman" w:hAnsi="Times New Roman"/>
              </w:rPr>
              <w:t xml:space="preserve">Uzrādīto termiņa vērtību nosaka saskaņā ar Regulas (ES) Nr. 575/2013 162. pantu.</w:t>
            </w:r>
            <w:r>
              <w:rPr>
                <w:sz w:val="24"/>
                <w:rFonts w:ascii="Times New Roman" w:hAnsi="Times New Roman"/>
              </w:rPr>
              <w:t xml:space="preserve">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sz w:val="24"/>
                <w:rFonts w:ascii="Times New Roman" w:hAnsi="Times New Roman"/>
              </w:rPr>
              <w:t xml:space="preserve">0060.</w:t>
            </w:r>
          </w:p>
        </w:tc>
        <w:tc>
          <w:tcPr>
            <w:tcW w:w="7654" w:type="dxa"/>
          </w:tcPr>
          <w:p w14:paraId="46D2D7DB" w14:textId="77777777" w:rsidR="00EF74C7" w:rsidRPr="002A677E" w:rsidRDefault="00EF74C7" w:rsidP="00822842">
            <w:pPr>
              <w:spacing w:before="60"/>
              <w:rPr>
                <w:sz w:val="24"/>
                <w:rFonts w:ascii="Times New Roman" w:hAnsi="Times New Roman"/>
              </w:rPr>
            </w:pPr>
            <w:r>
              <w:rPr>
                <w:sz w:val="24"/>
                <w:rStyle w:val="InstructionsTabelleberschrift"/>
                <w:rFonts w:ascii="Times New Roman" w:hAnsi="Times New Roman"/>
              </w:rPr>
              <w:t xml:space="preserve">Riska darījumu riska svērtās vērtības</w:t>
            </w:r>
            <w:r>
              <w:rPr>
                <w:sz w:val="24"/>
                <w:i/>
                <w:rFonts w:ascii="Times New Roman" w:hAnsi="Times New Roman"/>
              </w:rPr>
              <w:t xml:space="preserve"> </w:t>
            </w:r>
          </w:p>
          <w:p w14:paraId="21AFCDAB" w14:textId="09499DC5" w:rsidR="00EF74C7" w:rsidRPr="002A677E" w:rsidRDefault="00EF74C7" w:rsidP="00822842">
            <w:pPr>
              <w:spacing w:before="60"/>
              <w:rPr>
                <w:sz w:val="24"/>
                <w:rFonts w:ascii="Times New Roman" w:hAnsi="Times New Roman"/>
              </w:rPr>
            </w:pPr>
            <w:r>
              <w:rPr>
                <w:sz w:val="24"/>
                <w:rFonts w:ascii="Times New Roman" w:hAnsi="Times New Roman"/>
              </w:rPr>
              <w:t xml:space="preserve">Riska darījumu riska svērtās vērtības, kā definēts Regulas (ES) Nr. 575/2013 92. panta 3. punktā, pozīcijām, kuru riska pakāpes aplēš, pamatojoties uz prasībām, kas noteiktas Regulas (ES) Nr. 575/2013 Trešās daļas II sadaļas 3. nodaļā, un kurām riska darījumu vērtību</w:t>
            </w:r>
            <w:r>
              <w:rPr>
                <w:sz w:val="24"/>
                <w:i/>
                <w:iCs/>
                <w:rFonts w:ascii="Times New Roman" w:hAnsi="Times New Roman"/>
              </w:rPr>
              <w:t xml:space="preserve"> CCR</w:t>
            </w:r>
            <w:r>
              <w:rPr>
                <w:sz w:val="24"/>
                <w:rFonts w:ascii="Times New Roman" w:hAnsi="Times New Roman"/>
              </w:rPr>
              <w:t xml:space="preserve"> darījumiem aprēķina saskaņā ar minētās regulas Trešās daļas II sadaļas 4. un 6. nodaļu.</w:t>
            </w:r>
            <w:r>
              <w:rPr>
                <w:sz w:val="24"/>
                <w:rFonts w:ascii="Times New Roman" w:hAnsi="Times New Roman"/>
              </w:rPr>
              <w:t xml:space="preserve"> </w:t>
            </w:r>
          </w:p>
          <w:p w14:paraId="7071DC2E" w14:textId="77777777" w:rsidR="00EF74C7" w:rsidRPr="002A677E" w:rsidRDefault="00EF74C7" w:rsidP="00822842">
            <w:pPr>
              <w:spacing w:before="60" w:after="240"/>
              <w:rPr>
                <w:i/>
                <w:sz w:val="24"/>
                <w:rFonts w:ascii="Times New Roman" w:hAnsi="Times New Roman"/>
              </w:rPr>
            </w:pPr>
            <w:r>
              <w:rPr>
                <w:sz w:val="24"/>
                <w:rFonts w:ascii="Times New Roman" w:hAnsi="Times New Roman"/>
              </w:rPr>
              <w:t xml:space="preserve">Ņem vērā MVU un infrastruktūras atbalsta faktorus, kas minēti Regulas (ES) Nr. 575/2013 501. pantā un 501.a pantā.</w:t>
            </w:r>
            <w:r>
              <w:rPr>
                <w:sz w:val="24"/>
                <w:rFonts w:ascii="Times New Roman" w:hAnsi="Times New Roman"/>
              </w:rPr>
              <w:t xml:space="preserve">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sz w:val="24"/>
                <w:rFonts w:ascii="Times New Roman" w:hAnsi="Times New Roman"/>
              </w:rPr>
              <w:t xml:space="preserve">0070.</w:t>
            </w:r>
          </w:p>
        </w:tc>
        <w:tc>
          <w:tcPr>
            <w:tcW w:w="7654" w:type="dxa"/>
          </w:tcPr>
          <w:p w14:paraId="6C5FAC81"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Riska darījumu riska svērto vērtību blīvums</w:t>
            </w:r>
            <w:r>
              <w:rPr>
                <w:rStyle w:val="InstructionsTabelleberschrift"/>
                <w:sz w:val="24"/>
                <w:rFonts w:ascii="Times New Roman" w:hAnsi="Times New Roman"/>
              </w:rPr>
              <w:t xml:space="preserve"> </w:t>
            </w:r>
          </w:p>
          <w:p w14:paraId="2D69B724" w14:textId="77777777" w:rsidR="00EF74C7" w:rsidRPr="002A677E" w:rsidDel="00291448" w:rsidRDefault="00EF74C7" w:rsidP="00822842">
            <w:pPr>
              <w:spacing w:before="60"/>
              <w:rPr>
                <w:sz w:val="24"/>
                <w:rFonts w:ascii="Times New Roman" w:hAnsi="Times New Roman"/>
              </w:rPr>
            </w:pPr>
            <w:r>
              <w:rPr>
                <w:sz w:val="24"/>
                <w:rFonts w:ascii="Times New Roman" w:hAnsi="Times New Roman"/>
              </w:rPr>
              <w:t xml:space="preserve">Kopējās riska darījumu riska svērtās vērtības (uzrādīta 0060. slejā) attiecība pret riska darījumu vērtību (uzrādīta 0010. slejā).</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Rindas</w:t>
            </w:r>
            <w:r>
              <w:rPr>
                <w:b/>
                <w:sz w:val="24"/>
                <w:rFonts w:ascii="Times New Roman" w:hAnsi="Times New Roman"/>
              </w:rPr>
              <w:t xml:space="preserve">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 xml:space="preserve">0010.– 0170.</w:t>
            </w:r>
          </w:p>
        </w:tc>
        <w:tc>
          <w:tcPr>
            <w:tcW w:w="7655" w:type="dxa"/>
            <w:vAlign w:val="center"/>
          </w:tcPr>
          <w:p w14:paraId="2D3B901D" w14:textId="77777777" w:rsidR="00EF74C7" w:rsidRPr="002A677E" w:rsidRDefault="00EF74C7" w:rsidP="00822842">
            <w:pPr>
              <w:spacing w:before="60"/>
              <w:rPr>
                <w:b/>
                <w:bCs/>
                <w:sz w:val="24"/>
                <w:u w:val="single"/>
                <w:rFonts w:ascii="Times New Roman" w:hAnsi="Times New Roman"/>
              </w:rPr>
            </w:pPr>
            <w:r>
              <w:rPr>
                <w:rStyle w:val="InstructionsTabelleberschrift"/>
                <w:sz w:val="24"/>
                <w:i/>
                <w:iCs/>
                <w:rFonts w:ascii="Times New Roman" w:hAnsi="Times New Roman"/>
              </w:rPr>
              <w:t xml:space="preserve">PD</w:t>
            </w:r>
            <w:r>
              <w:rPr>
                <w:rStyle w:val="InstructionsTabelleberschrift"/>
                <w:sz w:val="24"/>
                <w:rFonts w:ascii="Times New Roman" w:hAnsi="Times New Roman"/>
              </w:rPr>
              <w:t xml:space="preserve"> diapazons</w:t>
            </w:r>
          </w:p>
          <w:p w14:paraId="61146F57" w14:textId="68363C58" w:rsidR="00EF74C7" w:rsidRPr="002A677E" w:rsidRDefault="00EF74C7" w:rsidP="00822842">
            <w:pPr>
              <w:spacing w:before="60"/>
              <w:rPr>
                <w:sz w:val="24"/>
                <w:rFonts w:ascii="Times New Roman" w:hAnsi="Times New Roman"/>
              </w:rPr>
            </w:pPr>
            <w:r>
              <w:rPr>
                <w:sz w:val="24"/>
                <w:i/>
                <w:iCs/>
                <w:rFonts w:ascii="Times New Roman" w:hAnsi="Times New Roman"/>
              </w:rPr>
              <w:t xml:space="preserve">CCR</w:t>
            </w:r>
            <w:r>
              <w:rPr>
                <w:sz w:val="24"/>
                <w:rFonts w:ascii="Times New Roman" w:hAnsi="Times New Roman"/>
              </w:rPr>
              <w:t xml:space="preserve"> riska darījumus (kas noteikti darījuma partnera līmenī) iedala attiecīgajā fiksētā </w:t>
            </w:r>
            <w:r>
              <w:rPr>
                <w:sz w:val="24"/>
                <w:i/>
                <w:iCs/>
                <w:rFonts w:ascii="Times New Roman" w:hAnsi="Times New Roman"/>
              </w:rPr>
              <w:t xml:space="preserve">PD</w:t>
            </w:r>
            <w:r>
              <w:rPr>
                <w:sz w:val="24"/>
                <w:rFonts w:ascii="Times New Roman" w:hAnsi="Times New Roman"/>
              </w:rPr>
              <w:t xml:space="preserve"> diapazona intervālā, balstoties uz aplēsto </w:t>
            </w:r>
            <w:r>
              <w:rPr>
                <w:sz w:val="24"/>
                <w:i/>
                <w:iCs/>
                <w:rFonts w:ascii="Times New Roman" w:hAnsi="Times New Roman"/>
              </w:rPr>
              <w:t xml:space="preserve">PD</w:t>
            </w:r>
            <w:r>
              <w:rPr>
                <w:sz w:val="24"/>
                <w:rFonts w:ascii="Times New Roman" w:hAnsi="Times New Roman"/>
              </w:rPr>
              <w:t xml:space="preserve"> katram parādniekam, kurš iedalīts šajā riska darījumu kategorijā (ņemot vērā aizstāšanu saistībā ar garantiju vai kredītu atvasināto instrumentu).</w:t>
            </w:r>
            <w:r>
              <w:rPr>
                <w:sz w:val="24"/>
                <w:rFonts w:ascii="Times New Roman" w:hAnsi="Times New Roman"/>
              </w:rPr>
              <w:t xml:space="preserve"> </w:t>
            </w:r>
            <w:r>
              <w:rPr>
                <w:sz w:val="24"/>
                <w:rFonts w:ascii="Times New Roman" w:hAnsi="Times New Roman"/>
              </w:rPr>
              <w:t xml:space="preserve">Iestādes veic sadalījumu pa riska darījumiem </w:t>
            </w:r>
            <w:r>
              <w:rPr>
                <w:sz w:val="24"/>
                <w:i/>
                <w:iCs/>
                <w:rFonts w:ascii="Times New Roman" w:hAnsi="Times New Roman"/>
              </w:rPr>
              <w:t xml:space="preserve">PD</w:t>
            </w:r>
            <w:r>
              <w:rPr>
                <w:sz w:val="24"/>
                <w:rFonts w:ascii="Times New Roman" w:hAnsi="Times New Roman"/>
              </w:rPr>
              <w:t xml:space="preserve"> diapazonā, kas sniegts veidnē, ņemot vērā arī nepārtrauktos diapazonus.</w:t>
            </w:r>
            <w:r>
              <w:rPr>
                <w:sz w:val="24"/>
                <w:rFonts w:ascii="Times New Roman" w:hAnsi="Times New Roman"/>
              </w:rPr>
              <w:t xml:space="preserve"> </w:t>
            </w:r>
            <w:r>
              <w:rPr>
                <w:sz w:val="24"/>
                <w:rFonts w:ascii="Times New Roman" w:hAnsi="Times New Roman"/>
              </w:rPr>
              <w:t xml:space="preserve">Visus riska darījumus, kuros netiek pildītas saistības, iekļauj grupā, kur </w:t>
            </w:r>
            <w:r>
              <w:rPr>
                <w:sz w:val="24"/>
                <w:i/>
                <w:iCs/>
                <w:rFonts w:ascii="Times New Roman" w:hAnsi="Times New Roman"/>
              </w:rPr>
              <w:t xml:space="preserve">PD</w:t>
            </w:r>
            <w:r>
              <w:rPr>
                <w:sz w:val="24"/>
                <w:rFonts w:ascii="Times New Roman" w:hAnsi="Times New Roman"/>
              </w:rPr>
              <w:t xml:space="preserve"> ir 100 %.</w:t>
            </w:r>
          </w:p>
        </w:tc>
      </w:tr>
    </w:tbl>
    <w:p w14:paraId="6EF2BA0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4" w:name="_Toc19715822"/>
      <w:bookmarkStart w:id="55" w:name="_Toc151714462"/>
      <w:r>
        <w:rPr>
          <w:sz w:val="24"/>
          <w:rFonts w:ascii="Times New Roman" w:hAnsi="Times New Roman"/>
        </w:rPr>
        <w:t xml:space="preserve">C 34.08. - </w:t>
      </w:r>
      <w:r>
        <w:rPr>
          <w:sz w:val="24"/>
          <w:i/>
          <w:iCs/>
          <w:rFonts w:ascii="Times New Roman" w:hAnsi="Times New Roman"/>
        </w:rPr>
        <w:t xml:space="preserve">CCR</w:t>
      </w:r>
      <w:r>
        <w:rPr>
          <w:sz w:val="24"/>
          <w:rFonts w:ascii="Times New Roman" w:hAnsi="Times New Roman"/>
        </w:rPr>
        <w:t xml:space="preserve"> riska darījumu nodrošinājuma sastāvs</w:t>
      </w:r>
      <w:bookmarkEnd w:id="54"/>
      <w:bookmarkEnd w:id="55"/>
    </w:p>
    <w:p w14:paraId="70D733F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6" w:name="_Toc19715823"/>
      <w:bookmarkStart w:id="57" w:name="_Toc151714463"/>
      <w:r>
        <w:rPr>
          <w:sz w:val="24"/>
          <w:rFonts w:ascii="Times New Roman" w:hAnsi="Times New Roman"/>
        </w:rPr>
        <w:t xml:space="preserve">Vispārīgas piezīmes</w:t>
      </w:r>
      <w:bookmarkEnd w:id="56"/>
      <w:bookmarkEnd w:id="57"/>
    </w:p>
    <w:p w14:paraId="0AF1AF80" w14:textId="794CBD9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131</w:t>
      </w:r>
      <w:r>
        <w:fldChar w:fldCharType="end"/>
      </w:r>
      <w:r>
        <w:t xml:space="preserve">.</w:t>
      </w:r>
      <w:r>
        <w:t xml:space="preserve"> </w:t>
      </w:r>
      <w:r>
        <w:t xml:space="preserve">Šo veidni aizpilda ar nodrošinājuma (saņemtā vai sniegtā) patiesajām vērtībām, kas izmantotas </w:t>
      </w:r>
      <w:r>
        <w:rPr>
          <w:i/>
          <w:iCs/>
        </w:rPr>
        <w:t xml:space="preserve">CCR</w:t>
      </w:r>
      <w:r>
        <w:t xml:space="preserve"> darījumos saistībā ar atvasināto instrumentu darījumiem, ilgtermiņa norēķinu darījumiem vai VFD, neatkarīgi no tā, vai minēto darījumu tīrvērti veicis </w:t>
      </w:r>
      <w:r>
        <w:rPr>
          <w:i/>
          <w:iCs/>
        </w:rPr>
        <w:t xml:space="preserve">CCP</w:t>
      </w:r>
      <w:r>
        <w:t xml:space="preserve"> un vai nodrošinājums ir iesniegts </w:t>
      </w:r>
      <w:r>
        <w:rPr>
          <w:i/>
          <w:iCs/>
        </w:rPr>
        <w:t xml:space="preserve">CCP</w:t>
      </w:r>
      <w:r>
        <w:t xml:space="preserve">.</w:t>
      </w:r>
      <w:r>
        <w:t xml:space="preserve"> </w:t>
      </w:r>
    </w:p>
    <w:p w14:paraId="74E6857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8" w:name="_Toc19715824"/>
      <w:bookmarkStart w:id="59" w:name="_Toc151714464"/>
      <w:r>
        <w:rPr>
          <w:sz w:val="24"/>
          <w:rFonts w:ascii="Times New Roman" w:hAnsi="Times New Roman"/>
        </w:rPr>
        <w:t xml:space="preserve">Norādes par konkrētām pozīcijām</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Slejas</w:t>
            </w:r>
            <w:r>
              <w:rPr>
                <w:b/>
                <w:sz w:val="24"/>
                <w:rFonts w:ascii="Times New Roman" w:hAnsi="Times New Roman"/>
              </w:rPr>
              <w:t xml:space="preserve">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 xml:space="preserve">0010. – 0080.</w:t>
            </w:r>
          </w:p>
        </w:tc>
        <w:tc>
          <w:tcPr>
            <w:tcW w:w="7655" w:type="dxa"/>
            <w:vAlign w:val="center"/>
          </w:tcPr>
          <w:p w14:paraId="64904DC2"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Atvasināto instrumentu darījumos izmantotais nodrošinājums</w:t>
            </w:r>
            <w:r>
              <w:rPr>
                <w:rStyle w:val="InstructionsTabelleberschrift"/>
                <w:sz w:val="24"/>
                <w:rFonts w:ascii="Times New Roman" w:hAnsi="Times New Roman"/>
              </w:rPr>
              <w:t xml:space="preserve"> </w:t>
            </w:r>
          </w:p>
          <w:p w14:paraId="0F03F847"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Iestādes uzrāda nodrošinājumu (tostarp sākotnējās drošības rezerves un mainīgās drošības rezerves nodrošinājumu), ko izmanto </w:t>
            </w:r>
            <w:r>
              <w:rPr>
                <w:sz w:val="24"/>
                <w:i/>
                <w:iCs/>
                <w:rFonts w:ascii="Times New Roman" w:hAnsi="Times New Roman"/>
              </w:rPr>
              <w:t xml:space="preserve">CCR</w:t>
            </w:r>
            <w:r>
              <w:rPr>
                <w:sz w:val="24"/>
                <w:rFonts w:ascii="Times New Roman" w:hAnsi="Times New Roman"/>
              </w:rPr>
              <w:t xml:space="preserve"> riska darījumos saistībā ar visiem Regulas (ES) Nr. 575/2013 II pielikumā uzskaitītajiem atvasinātajiem instrumentiem vai ilgstošo norēķinu darījumiem, kā definēts tās pašas regulas 272. panta 2. punktā, kuri nav uzskatāmi par VFD.</w:t>
            </w:r>
            <w:r>
              <w:rPr>
                <w:sz w:val="24"/>
                <w:rFonts w:ascii="Times New Roman" w:hAnsi="Times New Roman"/>
              </w:rPr>
              <w:t xml:space="preserve">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 xml:space="preserve">0090. – 0180.</w:t>
            </w:r>
          </w:p>
        </w:tc>
        <w:tc>
          <w:tcPr>
            <w:tcW w:w="7655" w:type="dxa"/>
            <w:vAlign w:val="center"/>
          </w:tcPr>
          <w:p w14:paraId="3C96417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VFD izmantotais nodrošinājums</w:t>
            </w:r>
            <w:r>
              <w:rPr>
                <w:rStyle w:val="InstructionsTabelleberschrift"/>
                <w:sz w:val="24"/>
                <w:rFonts w:ascii="Times New Roman" w:hAnsi="Times New Roman"/>
              </w:rPr>
              <w:t xml:space="preserve"> </w:t>
            </w:r>
          </w:p>
          <w:p w14:paraId="6B5AF52E"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Iestādes uzrāda nodrošinājumu (ietverot sākotnējās drošības rezerves un mainīgās drošības rezerves nodrošinājumu, kā arī nodrošinājumu, kas uzrādās kā vērtspapīri VFD), ko izmanto </w:t>
            </w:r>
            <w:r>
              <w:rPr>
                <w:sz w:val="24"/>
                <w:i/>
                <w:iCs/>
                <w:rFonts w:ascii="Times New Roman" w:hAnsi="Times New Roman"/>
              </w:rPr>
              <w:t xml:space="preserve">CCR</w:t>
            </w:r>
            <w:r>
              <w:rPr>
                <w:sz w:val="24"/>
                <w:rFonts w:ascii="Times New Roman" w:hAnsi="Times New Roman"/>
              </w:rPr>
              <w:t xml:space="preserve"> riska darījumos, kuri saistīti ar visiem VFD, vai ilgstošo norēķinu darījumā, kas nav uzskatāms par atvasināto instrumentu.</w:t>
            </w:r>
            <w:r>
              <w:rPr>
                <w:sz w:val="24"/>
                <w:rFonts w:ascii="Times New Roman" w:hAnsi="Times New Roman"/>
              </w:rPr>
              <w:t xml:space="preserve">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 xml:space="preserve">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Nošķirts</w:t>
            </w:r>
          </w:p>
          <w:p w14:paraId="3338D91C"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Regulas (ES) Nr. 575/2013 300. panta 1. punkts</w:t>
            </w:r>
          </w:p>
          <w:p w14:paraId="26EDC9B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Iestādes uzrāda nodrošinājumu, uz kuru attiecas neaizskaramība bankrota gadījumā, kā definēts Regulas (ES) Nr. 575/2013 300. panta 1. punktā, kas turpmāk sadalīti nodrošinājumā, kurš uzrādās kā sākotnējā vai mainīgās drošības rezerve.</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w:t>
            </w:r>
            <w:r>
              <w:t xml:space="preserve"> </w:t>
            </w:r>
          </w:p>
        </w:tc>
        <w:tc>
          <w:tcPr>
            <w:tcW w:w="7655" w:type="dxa"/>
          </w:tcPr>
          <w:p w14:paraId="0860899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Nenošķirts</w:t>
            </w:r>
            <w:r>
              <w:rPr>
                <w:rStyle w:val="InstructionsTabelleberschrift"/>
                <w:sz w:val="24"/>
                <w:rFonts w:ascii="Times New Roman" w:hAnsi="Times New Roman"/>
              </w:rPr>
              <w:t xml:space="preserve"> </w:t>
            </w:r>
          </w:p>
          <w:p w14:paraId="7A8B9376"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Regulas (ES) Nr. 575/2013 300. panta 1. punkts</w:t>
            </w:r>
          </w:p>
          <w:p w14:paraId="57A510C0" w14:textId="77777777" w:rsidR="00EF74C7" w:rsidRPr="002A677E" w:rsidRDefault="00EF74C7" w:rsidP="00822842">
            <w:pPr>
              <w:rPr>
                <w:sz w:val="24"/>
                <w:rFonts w:ascii="Times New Roman" w:hAnsi="Times New Roman"/>
              </w:rPr>
            </w:pPr>
            <w:r>
              <w:rPr>
                <w:sz w:val="24"/>
                <w:rFonts w:ascii="Times New Roman" w:hAnsi="Times New Roman"/>
              </w:rPr>
              <w:t xml:space="preserve">Iestādes uzrāda nodrošinājumu, uz kuru neattiecas neaizskaramība bankrota gadījumā, kā definēts Regulas (ES) Nr. 575/2013 300. panta 1. punktā, kas turpmāk sadalīts kā sākotnējā vai mainīgā drošības rezerve vai VFD vērtspapīrs.</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 xml:space="preserve">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Sākotnējā drošības rezerve</w:t>
            </w:r>
          </w:p>
          <w:p w14:paraId="3EA695F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Regulas (ES) Nr. 575/2013 4. panta 1. punkta 140) apakšpunkts.</w:t>
            </w:r>
          </w:p>
          <w:p w14:paraId="17D2E11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Iestādes uzrāda saņemtā vai sniegtā nodrošinājuma patiesās vērtības kā sākotnējo drošības rezervi (definēts Regulas (ES) Nr. 575/2013 4. panta 1. punkta 140) apakšpunktā).</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t xml:space="preserve">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Mainīgā drošības rezerve</w:t>
            </w:r>
          </w:p>
          <w:p w14:paraId="054E9606"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Iestādes uzrāda saņemtā vai sniegtā nodrošinājuma patiesās vērtības kā mainīgo drošības rezervi.</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 xml:space="preserve">0130., 0180.</w:t>
            </w:r>
          </w:p>
        </w:tc>
        <w:tc>
          <w:tcPr>
            <w:tcW w:w="7655" w:type="dxa"/>
            <w:vAlign w:val="center"/>
          </w:tcPr>
          <w:p w14:paraId="47509680"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VFD nodrošinājums</w:t>
            </w:r>
            <w:r>
              <w:rPr>
                <w:rStyle w:val="InstructionsTabelleberschrift"/>
                <w:sz w:val="24"/>
                <w:rFonts w:ascii="Times New Roman" w:hAnsi="Times New Roman"/>
              </w:rPr>
              <w:t xml:space="preserve"> </w:t>
            </w:r>
          </w:p>
          <w:p w14:paraId="79AA9223"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Iestādes uzrāda nodrošinājuma patiesās vērtības kā vērtspapīrus VFD (piem., vērtspapīru pozīcija VFD, kas ir saņemta attiecībā uz 0130. sleju vai iesniegta attiecībā uz 0180. sleju).</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Rindas</w:t>
            </w:r>
            <w:r>
              <w:rPr>
                <w:b/>
                <w:sz w:val="24"/>
                <w:rFonts w:ascii="Times New Roman" w:hAnsi="Times New Roman"/>
              </w:rPr>
              <w:t xml:space="preserve">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Nodrošinājuma veids</w:t>
            </w:r>
          </w:p>
          <w:p w14:paraId="4B5DD4D2"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Sadalījums pa dažādiem nodrošinājuma veidiem</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0" w:name="_Toc19715825"/>
      <w:bookmarkStart w:id="61" w:name="_Toc151714465"/>
      <w:r>
        <w:rPr>
          <w:sz w:val="24"/>
          <w:rFonts w:ascii="Times New Roman" w:hAnsi="Times New Roman"/>
        </w:rPr>
        <w:t xml:space="preserve">C 34.09 - Kredītu atvasinātie instrumenti</w:t>
      </w:r>
      <w:bookmarkEnd w:id="60"/>
      <w:bookmarkEnd w:id="61"/>
    </w:p>
    <w:p w14:paraId="64D36FD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2" w:name="_Toc19715826"/>
      <w:bookmarkStart w:id="63" w:name="_Toc151714466"/>
      <w:r>
        <w:rPr>
          <w:sz w:val="24"/>
          <w:rFonts w:ascii="Times New Roman" w:hAnsi="Times New Roman"/>
        </w:rPr>
        <w:t xml:space="preserve">Norādes par konkrētām pozīcijām</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Slejas</w:t>
            </w:r>
            <w:r>
              <w:rPr>
                <w:b/>
                <w:sz w:val="24"/>
                <w:rFonts w:ascii="Times New Roman" w:hAnsi="Times New Roman"/>
              </w:rPr>
              <w:t xml:space="preserve">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KREDĪTU ATVASINĀTO INSTRUMENTU AIZSARDZĪBA</w:t>
            </w:r>
          </w:p>
          <w:p w14:paraId="7A5AD5A8" w14:textId="77777777" w:rsidR="00EF74C7" w:rsidRPr="002A677E" w:rsidRDefault="00EF74C7" w:rsidP="00822842">
            <w:pPr>
              <w:autoSpaceDE w:val="0"/>
              <w:autoSpaceDN w:val="0"/>
              <w:adjustRightInd w:val="0"/>
              <w:spacing w:before="60"/>
              <w:rPr>
                <w:b/>
                <w:sz w:val="24"/>
                <w:rFonts w:ascii="Times New Roman" w:hAnsi="Times New Roman"/>
              </w:rPr>
            </w:pPr>
            <w:r>
              <w:rPr>
                <w:sz w:val="24"/>
                <w:rFonts w:ascii="Times New Roman" w:hAnsi="Times New Roman"/>
              </w:rPr>
              <w:t xml:space="preserve">Iegādātā vai pārdotā kredītu atvasināto instrumentu aizsardzība</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NOSACĪTĀS SUMMAS</w:t>
            </w:r>
            <w:r>
              <w:rPr>
                <w:rStyle w:val="InstructionsTabelleberschrift"/>
                <w:sz w:val="24"/>
                <w:rFonts w:ascii="Times New Roman" w:hAnsi="Times New Roman"/>
              </w:rPr>
              <w:t xml:space="preserve"> </w:t>
            </w:r>
          </w:p>
          <w:p w14:paraId="10378DB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Atvasināto instrumentu nosacīto summu kopsumma pirms savstarpējo prasījumu ieskaita, dalījumā pa produkta veidiem</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sz w:val="24"/>
                <w:rFonts w:ascii="Times New Roman" w:hAnsi="Times New Roman"/>
              </w:rPr>
            </w:pPr>
            <w:r>
              <w:rPr>
                <w:rStyle w:val="InstructionsTabelleberschrift"/>
                <w:sz w:val="24"/>
                <w:rFonts w:ascii="Times New Roman" w:hAnsi="Times New Roman"/>
              </w:rPr>
              <w:t xml:space="preserve">PATIESĀS VĒRTĪBAS</w:t>
            </w:r>
          </w:p>
          <w:p w14:paraId="3C50834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Patieso vērtību summa, kas sadalīta pēc iegādātās aizsardzības un pārdotās aizsardzības</w:t>
            </w:r>
            <w:r>
              <w:rPr>
                <w:sz w:val="24"/>
                <w:rFonts w:ascii="Times New Roman" w:hAnsi="Times New Roman"/>
              </w:rPr>
              <w:t xml:space="preserve">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Rindas</w:t>
            </w:r>
            <w:r>
              <w:rPr>
                <w:b/>
                <w:sz w:val="24"/>
                <w:rFonts w:ascii="Times New Roman" w:hAnsi="Times New Roman"/>
              </w:rPr>
              <w:t xml:space="preserve">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Produkta veids</w:t>
            </w:r>
          </w:p>
          <w:p w14:paraId="6C2C37A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Sadalījums pēc kredītu atvasināto instrumentu produkta veida</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Kopā</w:t>
            </w:r>
          </w:p>
          <w:p w14:paraId="6166DDC1" w14:textId="77777777" w:rsidR="00EF74C7" w:rsidRPr="002A677E" w:rsidRDefault="00EF74C7" w:rsidP="00822842">
            <w:pPr>
              <w:autoSpaceDE w:val="0"/>
              <w:autoSpaceDN w:val="0"/>
              <w:adjustRightInd w:val="0"/>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Visu produkta veidu summa</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Patiesās vērtības</w:t>
            </w:r>
          </w:p>
          <w:p w14:paraId="69350AE6" w14:textId="77777777" w:rsidR="00EF74C7" w:rsidRPr="002A677E" w:rsidRDefault="00EF74C7" w:rsidP="00822842">
            <w:pPr>
              <w:autoSpaceDE w:val="0"/>
              <w:autoSpaceDN w:val="0"/>
              <w:adjustRightInd w:val="0"/>
              <w:rPr>
                <w:bCs/>
                <w:sz w:val="24"/>
                <w:rFonts w:ascii="Times New Roman" w:hAnsi="Times New Roman"/>
              </w:rPr>
            </w:pPr>
            <w:r>
              <w:rPr>
                <w:sz w:val="24"/>
                <w:rFonts w:ascii="Times New Roman" w:hAnsi="Times New Roman"/>
              </w:rPr>
              <w:t xml:space="preserve">Patiesās vērtības dalījumā pa produkta veidiem, kā arī aktīviem (pozitīvas patiesās vērtības) un saistībām (negatīvas patiesās vērtības)</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4" w:name="_Toc19715827"/>
      <w:bookmarkStart w:id="65" w:name="_Toc151714467"/>
      <w:r>
        <w:rPr>
          <w:sz w:val="24"/>
          <w:rFonts w:ascii="Times New Roman" w:hAnsi="Times New Roman"/>
        </w:rPr>
        <w:t xml:space="preserve">C 34.10. - Riska darījumi ar </w:t>
      </w:r>
      <w:r>
        <w:rPr>
          <w:sz w:val="24"/>
          <w:i/>
          <w:iCs/>
          <w:rFonts w:ascii="Times New Roman" w:hAnsi="Times New Roman"/>
        </w:rPr>
        <w:t xml:space="preserve">CCP</w:t>
      </w:r>
      <w:bookmarkEnd w:id="64"/>
      <w:bookmarkEnd w:id="65"/>
    </w:p>
    <w:p w14:paraId="6196671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6" w:name="_Toc19715828"/>
      <w:bookmarkStart w:id="67" w:name="_Toc151714468"/>
      <w:r>
        <w:rPr>
          <w:sz w:val="24"/>
          <w:rFonts w:ascii="Times New Roman" w:hAnsi="Times New Roman"/>
        </w:rPr>
        <w:t xml:space="preserve">Vispārīgas piezīmes</w:t>
      </w:r>
      <w:bookmarkEnd w:id="66"/>
      <w:bookmarkEnd w:id="67"/>
    </w:p>
    <w:p w14:paraId="61FE0E56" w14:textId="36BE81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132</w:t>
      </w:r>
      <w:r>
        <w:fldChar w:fldCharType="end"/>
      </w:r>
      <w:r>
        <w:t xml:space="preserve">.</w:t>
      </w:r>
      <w:r>
        <w:t xml:space="preserve"> </w:t>
      </w:r>
      <w:r>
        <w:t xml:space="preserve">Iestādes uzrāda informāciju par riska darījumiem ar </w:t>
      </w:r>
      <w:r>
        <w:rPr>
          <w:i/>
          <w:iCs/>
        </w:rPr>
        <w:t xml:space="preserve">CCP</w:t>
      </w:r>
      <w:r>
        <w:t xml:space="preserve">, t. i., līgumus un darījumus, kas uzskaitīti Regulas (ES) Nr. 575/2013 301. panta 1. punktā tik ilgi, kamēr tie nav nokārtoti ar </w:t>
      </w:r>
      <w:r>
        <w:rPr>
          <w:i/>
          <w:iCs/>
        </w:rPr>
        <w:t xml:space="preserve">CCP</w:t>
      </w:r>
      <w:r>
        <w:t xml:space="preserve">, un riska darījumus no ar</w:t>
      </w:r>
      <w:r>
        <w:rPr>
          <w:i/>
          <w:iCs/>
        </w:rPr>
        <w:t xml:space="preserve"> CCP</w:t>
      </w:r>
      <w:r>
        <w:t xml:space="preserve"> saistītiem darījumiem saskaņā ar minētās regulas 300. panta 2. punktu, attiecībā uz kuriem pašu kapitāla prasības tiek aprēķinātas saskaņā ar minētās regulas Trešās daļas II sadaļas 6. nodaļas 9. iedaļu.</w:t>
      </w:r>
      <w:r>
        <w:t xml:space="preserve"> </w:t>
      </w:r>
    </w:p>
    <w:p w14:paraId="6A78D46D"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8" w:name="_Toc19715829"/>
      <w:bookmarkStart w:id="69" w:name="_Toc151714469"/>
      <w:r>
        <w:rPr>
          <w:sz w:val="24"/>
          <w:rFonts w:ascii="Times New Roman" w:hAnsi="Times New Roman"/>
        </w:rPr>
        <w:t xml:space="preserve">Norādes par konkrētām pozīcijām</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Slejas</w:t>
            </w:r>
            <w:r>
              <w:rPr>
                <w:b/>
                <w:sz w:val="24"/>
                <w:rFonts w:ascii="Times New Roman" w:hAnsi="Times New Roman"/>
              </w:rPr>
              <w:t xml:space="preserve">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 xml:space="preserve">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RISKA DARĪJUMU VĒRTĪBA</w:t>
            </w:r>
            <w:r>
              <w:rPr>
                <w:rStyle w:val="InstructionsTabelleberschrift"/>
                <w:sz w:val="24"/>
                <w:rFonts w:ascii="Times New Roman" w:hAnsi="Times New Roman"/>
              </w:rPr>
              <w:t xml:space="preserve"> </w:t>
            </w:r>
          </w:p>
          <w:p w14:paraId="0EB17FC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Riska darījumu vērtība darījumiem, uz kuriem attiecas Regulas (ES) Nr. 575/2013 Trešās daļas II sadaļas 6. nodaļas 9. iedaļas darbības joma, kas aprēķināta saskaņā ar attiecīgajām metodēm, kas izklāstītas šajā nodaļā un jo īpaši 9. iedaļā.</w:t>
            </w:r>
          </w:p>
          <w:p w14:paraId="4A7F439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Uzrādītā riska darījumu vērtība ir summa, kas ir būtiska pašu kapitāla prasību aprēķināšanai saskaņā ar Regulas (ES) Nr. 575/2013 Trešās daļas II sadaļas 6. nodaļas 9. iedaļu, ņemot vērā minētās regulas 497. pantā noteiktās prasības minētajā pantā noteiktā pārejas perioda laikā.</w:t>
            </w:r>
          </w:p>
          <w:p w14:paraId="0F502FE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Riska darījums var būt tirdzniecības riska darījums, kā definēts Regulas (ES) Nr. 575/2013 4. panta 1. punkta 91) apakšpunktā.</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 xml:space="preserve">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RISKA DARĪJUMU RISKA SVĒRTĀS VĒRTĪBAS</w:t>
            </w:r>
          </w:p>
          <w:p w14:paraId="5DA0A790"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Riska darījumu riska svērto vērtību summas, kas noteiktas saskaņā ar Regulas (ES) Nr. 575/2013 Trešās daļas II sadaļas 6. nodaļas 9. iedaļu, ņemot vērā minētās regulas 497. pantā noteiktās prasības minētajā pantā noteiktā pārejas perioda laikā.</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Rindas</w:t>
            </w:r>
            <w:r>
              <w:rPr>
                <w:b/>
                <w:sz w:val="24"/>
                <w:rFonts w:ascii="Times New Roman" w:hAnsi="Times New Roman"/>
              </w:rPr>
              <w:t xml:space="preserve">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 xml:space="preserve">0010.–0100.</w:t>
            </w:r>
          </w:p>
        </w:tc>
        <w:tc>
          <w:tcPr>
            <w:tcW w:w="7655" w:type="dxa"/>
            <w:vAlign w:val="center"/>
          </w:tcPr>
          <w:p w14:paraId="23F00BBB" w14:textId="77777777" w:rsidR="00EF74C7" w:rsidRPr="002A677E" w:rsidRDefault="00EF74C7" w:rsidP="00822842">
            <w:pPr>
              <w:spacing w:beforeLines="60" w:before="144" w:afterLines="60" w:after="144"/>
              <w:rPr>
                <w:sz w:val="24"/>
                <w:rFonts w:ascii="Times New Roman" w:hAnsi="Times New Roman"/>
              </w:rPr>
            </w:pPr>
            <w:r>
              <w:rPr>
                <w:sz w:val="24"/>
                <w:rStyle w:val="InstructionsTabelleberschrift"/>
                <w:rFonts w:ascii="Times New Roman" w:hAnsi="Times New Roman"/>
              </w:rPr>
              <w:t xml:space="preserve">Atbilstīgi </w:t>
            </w:r>
            <w:r>
              <w:rPr>
                <w:sz w:val="24"/>
                <w:rStyle w:val="InstructionsTabelleberschrift"/>
                <w:i/>
                <w:iCs/>
                <w:rFonts w:ascii="Times New Roman" w:hAnsi="Times New Roman"/>
              </w:rPr>
              <w:t xml:space="preserve">CCP</w:t>
            </w:r>
            <w:r>
              <w:rPr>
                <w:sz w:val="24"/>
                <w:rStyle w:val="InstructionsTabelleberschrift"/>
                <w:rFonts w:ascii="Times New Roman" w:hAnsi="Times New Roman"/>
              </w:rPr>
              <w:t xml:space="preserve"> (</w:t>
            </w:r>
            <w:r>
              <w:rPr>
                <w:sz w:val="24"/>
                <w:rStyle w:val="InstructionsTabelleberschrift"/>
                <w:i/>
                <w:iCs/>
                <w:rFonts w:ascii="Times New Roman" w:hAnsi="Times New Roman"/>
              </w:rPr>
              <w:t xml:space="preserve">QCCP</w:t>
            </w:r>
            <w:r>
              <w:rPr>
                <w:sz w:val="24"/>
                <w:rStyle w:val="InstructionsTabelleberschrift"/>
                <w:rFonts w:ascii="Times New Roman" w:hAnsi="Times New Roman"/>
              </w:rPr>
              <w:t xml:space="preserve">)</w:t>
            </w:r>
            <w:r>
              <w:rPr>
                <w:sz w:val="24"/>
                <w:rFonts w:ascii="Times New Roman" w:hAnsi="Times New Roman"/>
              </w:rPr>
              <w:t xml:space="preserve"> </w:t>
            </w:r>
          </w:p>
          <w:p w14:paraId="4AFED555"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Atbilstīgs centrālais darījumu partneris jeb “</w:t>
            </w:r>
            <w:r>
              <w:rPr>
                <w:sz w:val="24"/>
                <w:i/>
                <w:iCs/>
                <w:rFonts w:ascii="Times New Roman" w:hAnsi="Times New Roman"/>
              </w:rPr>
              <w:t xml:space="preserve">QCCP</w:t>
            </w:r>
            <w:r>
              <w:rPr>
                <w:sz w:val="24"/>
                <w:rFonts w:ascii="Times New Roman" w:hAnsi="Times New Roman"/>
              </w:rPr>
              <w:t xml:space="preserve">”, kā noteikts Regulas (ES) Nr. 575/2013 4. panta 1. punkta 88) apakšpunktā.</w:t>
            </w:r>
            <w:r>
              <w:rPr>
                <w:sz w:val="24"/>
                <w:rFonts w:ascii="Times New Roman" w:hAnsi="Times New Roman"/>
              </w:rPr>
              <w:t xml:space="preserv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 xml:space="preserve">0070., 0080.</w:t>
            </w:r>
          </w:p>
          <w:p w14:paraId="30D4CBEC" w14:textId="77777777" w:rsidR="00EF74C7" w:rsidRPr="002A677E" w:rsidRDefault="00EF74C7" w:rsidP="00822842">
            <w:pPr>
              <w:pStyle w:val="Fait"/>
            </w:pPr>
            <w:r>
              <w:t xml:space="preserve">0170., 0180.</w:t>
            </w:r>
          </w:p>
        </w:tc>
        <w:tc>
          <w:tcPr>
            <w:tcW w:w="7655" w:type="dxa"/>
            <w:vAlign w:val="center"/>
          </w:tcPr>
          <w:p w14:paraId="6E9FD7DA" w14:textId="77777777" w:rsidR="00EF74C7" w:rsidRPr="002A677E" w:rsidRDefault="00EF74C7" w:rsidP="00822842">
            <w:pPr>
              <w:keepNext/>
              <w:spacing w:before="60"/>
              <w:rPr>
                <w:rStyle w:val="InstructionsTabelleberschrift"/>
                <w:b w:val="0"/>
                <w:sz w:val="24"/>
                <w:rFonts w:ascii="Times New Roman" w:hAnsi="Times New Roman"/>
              </w:rPr>
            </w:pPr>
            <w:r>
              <w:rPr>
                <w:rStyle w:val="InstructionsTabelleberschrift"/>
                <w:sz w:val="24"/>
                <w:rFonts w:ascii="Times New Roman" w:hAnsi="Times New Roman"/>
              </w:rPr>
              <w:t xml:space="preserve">Sākotnējā drošības rezerve</w:t>
            </w:r>
          </w:p>
          <w:p w14:paraId="0528AC1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Sk. norādes attiecībā uz C 34.08. veidni.</w:t>
            </w:r>
          </w:p>
          <w:p w14:paraId="045F1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Šīs veidnes nolūkā sākotnējā drošības rezerve neietver iemaksas </w:t>
            </w:r>
            <w:r>
              <w:rPr>
                <w:sz w:val="24"/>
                <w:i/>
                <w:iCs/>
                <w:rFonts w:ascii="Times New Roman" w:hAnsi="Times New Roman"/>
              </w:rPr>
              <w:t xml:space="preserve">CCP</w:t>
            </w:r>
            <w:r>
              <w:rPr>
                <w:sz w:val="24"/>
                <w:rFonts w:ascii="Times New Roman" w:hAnsi="Times New Roman"/>
              </w:rPr>
              <w:t xml:space="preserve"> attiecībā uz savstarpēji sadalītiem zaudējumu dalīšanas mehānismiem (t.i., gadījumos, ja </w:t>
            </w:r>
            <w:r>
              <w:rPr>
                <w:sz w:val="24"/>
                <w:i/>
                <w:iCs/>
                <w:rFonts w:ascii="Times New Roman" w:hAnsi="Times New Roman"/>
              </w:rPr>
              <w:t xml:space="preserve">CCP</w:t>
            </w:r>
            <w:r>
              <w:rPr>
                <w:sz w:val="24"/>
                <w:rFonts w:ascii="Times New Roman" w:hAnsi="Times New Roman"/>
              </w:rPr>
              <w:t xml:space="preserve"> izmanto sākotnējo drošības rezervi, lai savstarpēji sadalītu zaudējumus starp tīrvērtes dalībniekiem, to uzskaita kā saistību neizpildes fonda riska darījumu).</w:t>
            </w:r>
            <w:r>
              <w:rPr>
                <w:sz w:val="24"/>
                <w:rFonts w:ascii="Times New Roman" w:hAnsi="Times New Roman"/>
              </w:rPr>
              <w:t xml:space="preserve">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 xml:space="preserve">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Priekšfinansētās iemaksas saistību neizpildes fondā</w:t>
            </w:r>
          </w:p>
          <w:p w14:paraId="10ECCD4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Regulas (ES) Nr. 575/2013 308. un 309. pants;</w:t>
            </w:r>
            <w:r>
              <w:rPr>
                <w:sz w:val="24"/>
                <w:rFonts w:ascii="Times New Roman" w:hAnsi="Times New Roman"/>
              </w:rPr>
              <w:t xml:space="preserve"> </w:t>
            </w:r>
            <w:r>
              <w:rPr>
                <w:sz w:val="24"/>
                <w:rFonts w:ascii="Times New Roman" w:hAnsi="Times New Roman"/>
              </w:rPr>
              <w:t xml:space="preserve">saistību neizpildes fonds, kā definēts Regulas (ES) Nr. 575/2013 4. panta 1. punkta 89) apakšpunktā;</w:t>
            </w:r>
            <w:r>
              <w:rPr>
                <w:sz w:val="24"/>
                <w:rFonts w:ascii="Times New Roman" w:hAnsi="Times New Roman"/>
              </w:rPr>
              <w:t xml:space="preserve"> </w:t>
            </w:r>
            <w:r>
              <w:rPr>
                <w:sz w:val="24"/>
                <w:rFonts w:ascii="Times New Roman" w:hAnsi="Times New Roman"/>
              </w:rPr>
              <w:t xml:space="preserve">iemaksa </w:t>
            </w:r>
            <w:r>
              <w:rPr>
                <w:sz w:val="24"/>
                <w:i/>
                <w:iCs/>
                <w:rFonts w:ascii="Times New Roman" w:hAnsi="Times New Roman"/>
              </w:rPr>
              <w:t xml:space="preserve">CCP</w:t>
            </w:r>
            <w:r>
              <w:rPr>
                <w:sz w:val="24"/>
                <w:rFonts w:ascii="Times New Roman" w:hAnsi="Times New Roman"/>
              </w:rPr>
              <w:t xml:space="preserve"> saistību neizpildes fondā, ko veic iestāde.</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 xml:space="preserve">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Iepriekš nefinansētās iemaksas saistību neizpildes fondā</w:t>
            </w:r>
          </w:p>
          <w:p w14:paraId="4758699C" w14:textId="77777777" w:rsidR="00EF74C7" w:rsidRPr="002A677E" w:rsidRDefault="00EF74C7" w:rsidP="00822842">
            <w:pPr>
              <w:keepNext/>
              <w:spacing w:before="60"/>
              <w:rPr>
                <w:rStyle w:val="InstructionsTabelleberschrift"/>
                <w:b w:val="0"/>
                <w:bCs w:val="0"/>
                <w:sz w:val="24"/>
                <w:rFonts w:ascii="Times New Roman" w:hAnsi="Times New Roman"/>
              </w:rPr>
            </w:pPr>
            <w:r>
              <w:rPr>
                <w:sz w:val="24"/>
                <w:rFonts w:ascii="Times New Roman" w:hAnsi="Times New Roman"/>
              </w:rPr>
              <w:t xml:space="preserve">Regulas (ES) Nr. 575/2013 309. un 310. pants;</w:t>
            </w:r>
            <w:r>
              <w:rPr>
                <w:sz w:val="24"/>
                <w:rFonts w:ascii="Times New Roman" w:hAnsi="Times New Roman"/>
              </w:rPr>
              <w:t xml:space="preserve"> </w:t>
            </w:r>
            <w:r>
              <w:rPr>
                <w:sz w:val="24"/>
                <w:rFonts w:ascii="Times New Roman" w:hAnsi="Times New Roman"/>
              </w:rPr>
              <w:t xml:space="preserve">saistību neizpildes fonds, kā definēts Regulas (ES) Nr. 575/2013 4. panta 1. punkta 89) apakšpunktā;</w:t>
            </w:r>
          </w:p>
          <w:p w14:paraId="25D8738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Iestādes uzrāda iemaksas, kuras iestāde, kas darbojas kā tīrvērtes dalībnieks, ir līgumā apņēmusies iemaksāt </w:t>
            </w:r>
            <w:r>
              <w:rPr>
                <w:sz w:val="24"/>
                <w:i/>
                <w:iCs/>
                <w:rFonts w:ascii="Times New Roman" w:hAnsi="Times New Roman"/>
              </w:rPr>
              <w:t xml:space="preserve">CCP</w:t>
            </w:r>
            <w:r>
              <w:rPr>
                <w:sz w:val="24"/>
                <w:rFonts w:ascii="Times New Roman" w:hAnsi="Times New Roman"/>
              </w:rPr>
              <w:t xml:space="preserve"> pēc tam, kad </w:t>
            </w:r>
            <w:r>
              <w:rPr>
                <w:sz w:val="24"/>
                <w:i/>
                <w:iCs/>
                <w:rFonts w:ascii="Times New Roman" w:hAnsi="Times New Roman"/>
              </w:rPr>
              <w:t xml:space="preserve">CCP</w:t>
            </w:r>
            <w:r>
              <w:rPr>
                <w:sz w:val="24"/>
                <w:rFonts w:ascii="Times New Roman" w:hAnsi="Times New Roman"/>
              </w:rPr>
              <w:t xml:space="preserve"> ir pilnībā izmantojis saistību neizpildes fondu, lai segtu zaudējumus, kas tam radušies pēc viena vai vairāku tā tīrvērtes dalībnieku saistību neizpildes.</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 xml:space="preserve">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Nošķirts</w:t>
            </w:r>
          </w:p>
          <w:p w14:paraId="7144C419"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Sk. norādes attiecībā uz C 34.08. veidni.</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 xml:space="preserve">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Nenošķirts</w:t>
            </w:r>
          </w:p>
          <w:p w14:paraId="002F04D5"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Sk. norādes attiecībā uz C 34.08. veidni.</w:t>
            </w:r>
          </w:p>
        </w:tc>
      </w:tr>
    </w:tbl>
    <w:p w14:paraId="7128280E"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70" w:name="_Toc19715830"/>
      <w:bookmarkStart w:id="71" w:name="_Toc151714470"/>
      <w:r>
        <w:rPr>
          <w:sz w:val="24"/>
          <w:rFonts w:ascii="Times New Roman" w:hAnsi="Times New Roman"/>
        </w:rPr>
        <w:t xml:space="preserve">C 34.11. - Riska darījumu riska svērto vērtību (</w:t>
      </w:r>
      <w:r>
        <w:rPr>
          <w:sz w:val="24"/>
          <w:i/>
          <w:iCs/>
          <w:rFonts w:ascii="Times New Roman" w:hAnsi="Times New Roman"/>
        </w:rPr>
        <w:t xml:space="preserve">RWEA</w:t>
      </w:r>
      <w:r>
        <w:rPr>
          <w:sz w:val="24"/>
          <w:rFonts w:ascii="Times New Roman" w:hAnsi="Times New Roman"/>
        </w:rPr>
        <w:t xml:space="preserve">) plūsmu pārskats par </w:t>
      </w:r>
      <w:r>
        <w:rPr>
          <w:sz w:val="24"/>
          <w:i/>
          <w:iCs/>
          <w:rFonts w:ascii="Times New Roman" w:hAnsi="Times New Roman"/>
        </w:rPr>
        <w:t xml:space="preserve">CCR</w:t>
      </w:r>
      <w:r>
        <w:rPr>
          <w:sz w:val="24"/>
          <w:rFonts w:ascii="Times New Roman" w:hAnsi="Times New Roman"/>
        </w:rPr>
        <w:t xml:space="preserve"> riska darījumiem saskaņā ar IMM</w:t>
      </w:r>
      <w:bookmarkEnd w:id="70"/>
      <w:bookmarkEnd w:id="71"/>
    </w:p>
    <w:p w14:paraId="2C95A3D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2" w:name="_Toc19715831"/>
      <w:bookmarkStart w:id="73" w:name="_Toc151714471"/>
      <w:r>
        <w:rPr>
          <w:sz w:val="24"/>
          <w:rFonts w:ascii="Times New Roman" w:hAnsi="Times New Roman"/>
        </w:rPr>
        <w:t xml:space="preserve">Vispārīgas piezīmes</w:t>
      </w:r>
      <w:bookmarkEnd w:id="72"/>
      <w:bookmarkEnd w:id="73"/>
    </w:p>
    <w:p w14:paraId="03BB213D" w14:textId="647FCB93"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133</w:t>
      </w:r>
      <w:r>
        <w:fldChar w:fldCharType="end"/>
      </w:r>
      <w:r>
        <w:t xml:space="preserve">.</w:t>
      </w:r>
      <w:r>
        <w:t xml:space="preserve"> </w:t>
      </w:r>
      <w:r>
        <w:t xml:space="preserve">Iestādes, kas izmanto IMM, lai aprēķinātu riska darījumu riska svērtās vērtības visiem vai daļai no to </w:t>
      </w:r>
      <w:r>
        <w:rPr>
          <w:i/>
          <w:iCs/>
        </w:rPr>
        <w:t xml:space="preserve">CRR</w:t>
      </w:r>
      <w:r>
        <w:t xml:space="preserve"> riska darījumiem saskaņā ar Regulas (ES) Nr. 575/2013 Trešās daļas II sadaļas 6. nodaļu, neatkarīgi no kredītriska pieejas, kas izmantota, lai noteiktu atbilstošos riska svērumus, šajā veidnē uzrāda plūsmu pārskatus, kas paskaidro izmaiņas atvasināto instrumentu un VFD riska darījumu riska svērtajā vērtībā, uz kuriem attiecas IMM tvērums, nodalot galvenos iemeslus un pamatojoties uz pamatotām aplēsēm.</w:t>
      </w:r>
    </w:p>
    <w:p w14:paraId="3CF6C221" w14:textId="3050BF1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134</w:t>
      </w:r>
      <w:r>
        <w:fldChar w:fldCharType="end"/>
      </w:r>
      <w:r>
        <w:t xml:space="preserve">.</w:t>
      </w:r>
      <w:r>
        <w:t xml:space="preserve"> </w:t>
      </w:r>
      <w:r>
        <w:t xml:space="preserve">Iestādes, kuras sniedz informāciju šajā veidnē ik ceturksni, aizpilda tikai 0010. sleju.</w:t>
      </w:r>
      <w:r>
        <w:t xml:space="preserve"> </w:t>
      </w:r>
      <w:r>
        <w:t xml:space="preserve">Iestādes, kuras sniedz informāciju šajā veidnē reizi gadā, aizpilda tikai 0020. sleju.</w:t>
      </w:r>
      <w:r>
        <w:t xml:space="preserve"> </w:t>
      </w:r>
    </w:p>
    <w:p w14:paraId="618242D4" w14:textId="24BF40AD"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135</w:t>
      </w:r>
      <w:r>
        <w:fldChar w:fldCharType="end"/>
      </w:r>
      <w:r>
        <w:t xml:space="preserve">.</w:t>
      </w:r>
      <w:r>
        <w:t xml:space="preserve"> </w:t>
      </w:r>
      <w:r>
        <w:t xml:space="preserve">Šī veidne izslēdz riska darījumu riska svērtās vērtības attiecībā uz riska darījumiem ar centrālo darījumu partneri (Regulas (ES) Nr. 575/2013 Trešās daļas II sadaļas 6. nodaļas 9. iedaļa).</w:t>
      </w:r>
    </w:p>
    <w:p w14:paraId="5D4AACD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4" w:name="_Toc19715832"/>
      <w:bookmarkStart w:id="75" w:name="_Toc151714472"/>
      <w:r>
        <w:rPr>
          <w:sz w:val="24"/>
          <w:rFonts w:ascii="Times New Roman" w:hAnsi="Times New Roman"/>
        </w:rPr>
        <w:t xml:space="preserve">Norādes par konkrētām pozīcijām</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b/>
                <w:sz w:val="24"/>
                <w:rFonts w:ascii="Times New Roman" w:hAnsi="Times New Roman"/>
              </w:rPr>
            </w:pPr>
            <w:r>
              <w:rPr>
                <w:b/>
                <w:sz w:val="24"/>
                <w:rFonts w:ascii="Times New Roman" w:hAnsi="Times New Roman"/>
              </w:rPr>
              <w:t xml:space="preserve">Slejas</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RISKA DARĪJUMU RISKA SVĒRTĀS VĒRTĪBAS</w:t>
            </w:r>
          </w:p>
          <w:p w14:paraId="0630F3A5" w14:textId="03B5FB80" w:rsidR="00EF74C7" w:rsidRPr="002A677E" w:rsidRDefault="00EF74C7" w:rsidP="00822842">
            <w:pPr>
              <w:rPr>
                <w:sz w:val="24"/>
                <w:rFonts w:ascii="Times New Roman" w:hAnsi="Times New Roman"/>
              </w:rPr>
            </w:pPr>
            <w:r>
              <w:rPr>
                <w:sz w:val="24"/>
                <w:rFonts w:ascii="Times New Roman" w:hAnsi="Times New Roman"/>
              </w:rPr>
              <w:t xml:space="preserve">Riska darījumu riska svērtās vērtības, kā definēts Regulas (ES) Nr. 575/2013 92. panta 3. punktā, pozīcijām, kuru riska pakāpes aplēš, pamatojoties uz prasībām, kas noteiktas minētās regulas Trešās daļas II sadaļas 2. un 3. nodaļā, un attiecībā uz kurām iestādei ir atļauts aprēķināt riska darījuma vērtību, izmantojot IMM saskaņā ar minētās regulas Trešās daļas II sadaļas 6. nodaļas 6. iedaļu.</w:t>
            </w:r>
            <w:r>
              <w:rPr>
                <w:sz w:val="24"/>
                <w:rFonts w:ascii="Times New Roman" w:hAnsi="Times New Roman"/>
              </w:rPr>
              <w:t xml:space="preserve"> </w:t>
            </w:r>
          </w:p>
          <w:p w14:paraId="1EFFB8C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Ņem vērā MVU un infrastruktūras atbalsta faktorus, kas minēti Regulas (ES) Nr. 575/2013 501. pantā un 501.a pantā.</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b/>
                <w:sz w:val="24"/>
                <w:rFonts w:ascii="Times New Roman" w:hAnsi="Times New Roman"/>
              </w:rPr>
            </w:pPr>
            <w:r>
              <w:rPr>
                <w:b/>
                <w:sz w:val="24"/>
                <w:rFonts w:ascii="Times New Roman" w:hAnsi="Times New Roman"/>
              </w:rPr>
              <w:t xml:space="preserve">Rindas</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 xml:space="preserve">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Riska darījumu riska svērtās vērtības iepriekšējā pārskata perioda beigās</w:t>
            </w:r>
          </w:p>
          <w:p w14:paraId="27A42CB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Riska darījumu riska svērtās vērtības </w:t>
            </w:r>
            <w:r>
              <w:rPr>
                <w:sz w:val="24"/>
                <w:i/>
                <w:iCs/>
                <w:rFonts w:ascii="Times New Roman" w:hAnsi="Times New Roman"/>
              </w:rPr>
              <w:t xml:space="preserve">CCR</w:t>
            </w:r>
            <w:r>
              <w:rPr>
                <w:sz w:val="24"/>
                <w:rFonts w:ascii="Times New Roman" w:hAnsi="Times New Roman"/>
              </w:rPr>
              <w:t xml:space="preserve"> riska darījumiem pēc IMM iepriekšējā pārskata perioda beigās</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Aktīvu apmērs</w:t>
            </w:r>
          </w:p>
          <w:p w14:paraId="1826143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Izmaiņas (pozitīvas vai negatīvas) riska darījumu riska svērtajā vērtībā saistībā ar izmaiņām portfeļu apjomā un sastāvā, kas izriet no ierastās darījumdarbības (ietverot jaunu darījumu veidošanu un riska darījumus, kuriem beidzas termiņš), bet izslēdzot portfeļu apjoma izmaiņas, kuru iemesls ir sabiedrību iegāde un atsavināšana.</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Darījuma partneru kredītkvalitāte</w:t>
            </w:r>
            <w:r>
              <w:rPr>
                <w:rStyle w:val="InstructionsTabelleberschrift"/>
                <w:sz w:val="24"/>
                <w:rFonts w:ascii="Times New Roman" w:hAnsi="Times New Roman"/>
              </w:rPr>
              <w:t xml:space="preserve"> </w:t>
            </w:r>
          </w:p>
          <w:p w14:paraId="250F3251"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Izmaiņas (pozitīvas vai negatīvas) riska darījumu riska svērtajā vērtībā saistībā ar izmaiņām iestādes darījuma partneru novērtētās kvalitātes izmaiņās, kā novērtēts saskaņā ar kredītriska regulējumu, neatkarīgi no iestādes izmantotās pieejas.</w:t>
            </w:r>
            <w:r>
              <w:rPr>
                <w:sz w:val="24"/>
                <w:rFonts w:ascii="Times New Roman" w:hAnsi="Times New Roman"/>
              </w:rPr>
              <w:t xml:space="preserve"> </w:t>
            </w:r>
            <w:r>
              <w:rPr>
                <w:sz w:val="24"/>
                <w:rFonts w:ascii="Times New Roman" w:hAnsi="Times New Roman"/>
              </w:rPr>
              <w:t xml:space="preserve">Šī rinda ietver arī potenciālās riska darījumu riska svērtās vērtības izmaiņas saistībā ar IRB modeļiem, ja iestāde izmanto IRB pieeju.</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Modeļu atjauninājumi (tikai attiecībā uz IMM)</w:t>
            </w:r>
          </w:p>
          <w:p w14:paraId="18D81B0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Izmaiņas (pozitīvas vai negatīvas) riska darījumu riska svērtajā vērtībā saistībā ar modeļa īstenošanu, izmaiņām modeļa tvērumā vai jebkuras izmaiņas, ar kurām paredzēts novērst modeļa nepilnības.</w:t>
            </w:r>
          </w:p>
          <w:p w14:paraId="35919C0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Šī rinda attiecas tikai uz izmaiņām IMM modelī.</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Metodika un politika (tikai IMM)</w:t>
            </w:r>
          </w:p>
          <w:p w14:paraId="492776F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Izmaiņas (pozitīvas vai negatīvas) riska darījumu riska svērtajā vērtībā saistībā ar metodikas izmaiņām aprēķinos, kuras izraisījušas regulatīvās politikas izmaiņas, piemēram, jauni regulējumi (tikai IMM modelī)</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Iegāde un atsavināšana</w:t>
            </w:r>
          </w:p>
          <w:p w14:paraId="556F6F9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Izmaiņas (pozitīvas vai negatīvas) riska darījumu riska svērtajā vērtībā, ko izraisījušas izmaiņas portfeļa apjomā, kuru iemesls ir sabiedrību iegāde un atsavināšana.</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Ārvalstu valūtas kursa svārstības</w:t>
            </w:r>
          </w:p>
          <w:p w14:paraId="29E3F8C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Izmaiņas (pozitīvas vai negatīvas) riska darījumu riska svērtajā vērtībā saistībā ar izmaiņām, kas radušās ārvalstu valūtu pārrēķināšanas svārstību rezultātā.</w:t>
            </w:r>
            <w:r>
              <w:rPr>
                <w:sz w:val="24"/>
                <w:rFonts w:ascii="Times New Roman" w:hAnsi="Times New Roman"/>
              </w:rPr>
              <w:t xml:space="preserve">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Citi</w:t>
            </w:r>
          </w:p>
          <w:p w14:paraId="0BAC5EB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Šo kategoriju izmanto, lai uzrādītu izmaiņas (pozitīvas vai negatīvas) riska darījumu riska svērtajā vērtībā, kuras nevar attiecināt uz iepriekš minētajām kategorijām.</w:t>
            </w:r>
            <w:r>
              <w:rPr>
                <w:sz w:val="24"/>
                <w:rFonts w:ascii="Times New Roman" w:hAnsi="Times New Roman"/>
              </w:rPr>
              <w:t xml:space="preserve">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Riska darījumu riska svērtā vērtība kārtējā pārskata perioda beigās</w:t>
            </w:r>
          </w:p>
          <w:p w14:paraId="51365175"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Riska darījumu riska svērtās vērtības </w:t>
            </w:r>
            <w:r>
              <w:rPr>
                <w:sz w:val="24"/>
                <w:i/>
                <w:iCs/>
                <w:rFonts w:ascii="Times New Roman" w:hAnsi="Times New Roman"/>
              </w:rPr>
              <w:t xml:space="preserve">CCR</w:t>
            </w:r>
            <w:r>
              <w:rPr>
                <w:sz w:val="24"/>
                <w:rFonts w:ascii="Times New Roman" w:hAnsi="Times New Roman"/>
              </w:rPr>
              <w:t xml:space="preserve"> riska darījumiem pēc IMM kārtējā pārskata perioda beigās</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val="lv-LV"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val="lv-LV"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val="lv-LV"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val="lv-LV"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val="lv-LV"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val="lv-LV"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val="lv-LV"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lv-LV"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lv-LV"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lv-LV"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lv-LV"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lv-LV"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lv-LV"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val="lv-LV"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lv-LV"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val="lv-LV"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lv-LV"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lv-LV"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val="lv-LV"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lv-LV"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val="lv-LV"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lv-LV"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val="lv-LV"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lv-LV"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val="lv-LV"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lv-LV"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lv-LV"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val="lv-LV"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val="lv-LV"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val="lv-LV"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lv-LV"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lang w:val="lv-LV"/>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lv-LV"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lang w:val="lv-LV"/>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val="lv-LV"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lv-LV"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lang w:val="lv-LV"/>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lang w:val="lv-LV"/>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lang w:val="lv-LV"/>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lang w:val="lv-LV"/>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EF74C7"/>
    <w:pPr>
      <w:numPr>
        <w:numId w:val="23"/>
      </w:numPr>
      <w:spacing w:after="0" w:line="240" w:lineRule="auto"/>
    </w:pPr>
    <w:rPr>
      <w:rFonts w:eastAsiaTheme="minorEastAsia"/>
      <w:kern w:val="0"/>
      <w:lang w:val="lv-LV"/>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lang w:val="lv-LV"/>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lang w:val="lv-LV"/>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lv-LV"/>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lang w:val="lv-LV"/>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lang w:val="lv-LV"/>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val="lv-LV"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lang w:val="lv-LV"/>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lang w:val="lv-LV"/>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lang w:val="lv-LV"/>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lang w:val="lv-LV"/>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lv-LV"/>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lv-LV"/>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val="lv-LV"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lang w:val="lv-LV"/>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lang w:val="lv-LV"/>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val="lv-LV"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val="lv-LV"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val="lv-LV"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val="lv-LV"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val="lv-LV"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lv-LV"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val="lv-LV"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A9C681FE-6775-416F-9D9F-0B65DA723CF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7372</Words>
  <Characters>42023</Characters>
  <Application>Microsoft Office Word</Application>
  <DocSecurity>0</DocSecurity>
  <Lines>350</Lines>
  <Paragraphs>98</Paragraphs>
  <ScaleCrop>false</ScaleCrop>
  <Company>European Banking Authority</Company>
  <LinksUpToDate>false</LinksUpToDate>
  <CharactersWithSpaces>49297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2024-06-19T16:03:00Z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